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7"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2" w:lineRule="exact"/>
        <w:rPr>
          <w:sz w:val="24"/>
          <w:szCs w:val="24"/>
          <w:color w:val="auto"/>
        </w:rPr>
      </w:pPr>
    </w:p>
    <w:p>
      <w:pPr>
        <w:ind w:left="2520" w:right="2500" w:hanging="2454"/>
        <w:spacing w:after="0" w:line="425"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420" w:type="dxa"/>
        <w:tblCellMar>
          <w:top w:w="0" w:type="dxa"/>
          <w:left w:w="0" w:type="dxa"/>
          <w:bottom w:w="0" w:type="dxa"/>
          <w:right w:w="0" w:type="dxa"/>
        </w:tblCellMar>
      </w:tblPr>
      <w:tr>
        <w:trPr>
          <w:trHeight w:val="421"/>
        </w:trPr>
        <w:tc>
          <w:tcPr>
            <w:tcW w:w="120" w:type="dxa"/>
            <w:vAlign w:val="bottom"/>
          </w:tcPr>
          <w:p>
            <w:pPr>
              <w:spacing w:after="0"/>
              <w:rPr>
                <w:sz w:val="24"/>
                <w:szCs w:val="24"/>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32"/>
                <w:szCs w:val="32"/>
                <w:b w:val="1"/>
                <w:bCs w:val="1"/>
                <w:color w:val="auto"/>
                <w:w w:val="99"/>
              </w:rPr>
              <w:t>STEPSTONE GROUP INC.</w:t>
            </w:r>
          </w:p>
        </w:tc>
      </w:tr>
      <w:tr>
        <w:trPr>
          <w:trHeight w:val="203"/>
        </w:trPr>
        <w:tc>
          <w:tcPr>
            <w:tcW w:w="120" w:type="dxa"/>
            <w:vAlign w:val="bottom"/>
          </w:tcPr>
          <w:p>
            <w:pPr>
              <w:spacing w:after="0"/>
              <w:rPr>
                <w:sz w:val="17"/>
                <w:szCs w:val="17"/>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03"/>
        </w:trPr>
        <w:tc>
          <w:tcPr>
            <w:tcW w:w="120" w:type="dxa"/>
            <w:vAlign w:val="bottom"/>
          </w:tcPr>
          <w:p>
            <w:pPr>
              <w:spacing w:after="0"/>
              <w:rPr>
                <w:sz w:val="17"/>
                <w:szCs w:val="17"/>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7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120" w:type="dxa"/>
            <w:vAlign w:val="bottom"/>
          </w:tcPr>
          <w:p>
            <w:pPr>
              <w:spacing w:after="0"/>
              <w:rPr>
                <w:sz w:val="12"/>
                <w:szCs w:val="12"/>
                <w:color w:val="auto"/>
              </w:rPr>
            </w:pPr>
          </w:p>
        </w:tc>
        <w:tc>
          <w:tcPr>
            <w:tcW w:w="3340" w:type="dxa"/>
            <w:vAlign w:val="bottom"/>
            <w:gridSpan w:val="2"/>
          </w:tcPr>
          <w:p>
            <w:pPr>
              <w:jc w:val="center"/>
              <w:ind w:right="13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center"/>
              <w:ind w:left="1128"/>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120" w:type="dxa"/>
            <w:vAlign w:val="bottom"/>
          </w:tcPr>
          <w:p>
            <w:pPr>
              <w:spacing w:after="0"/>
              <w:rPr>
                <w:sz w:val="15"/>
                <w:szCs w:val="15"/>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center"/>
              <w:ind w:left="1128"/>
              <w:spacing w:after="0"/>
              <w:rPr>
                <w:sz w:val="20"/>
                <w:szCs w:val="20"/>
                <w:color w:val="auto"/>
              </w:rPr>
            </w:pPr>
            <w:r>
              <w:rPr>
                <w:rFonts w:ascii="Arial" w:cs="Arial" w:eastAsia="Arial" w:hAnsi="Arial"/>
                <w:sz w:val="14"/>
                <w:szCs w:val="14"/>
                <w:color w:val="auto"/>
                <w:w w:val="97"/>
              </w:rPr>
              <w:t>Identification No.)</w:t>
            </w:r>
          </w:p>
        </w:tc>
      </w:tr>
      <w:tr>
        <w:trPr>
          <w:trHeight w:val="332"/>
        </w:trPr>
        <w:tc>
          <w:tcPr>
            <w:tcW w:w="34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460" w:type="dxa"/>
            <w:vAlign w:val="bottom"/>
            <w:gridSpan w:val="3"/>
          </w:tcPr>
          <w:p>
            <w:pPr>
              <w:jc w:val="center"/>
              <w:ind w:right="118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r>
        <w:trPr>
          <w:trHeight w:val="263"/>
        </w:trPr>
        <w:tc>
          <w:tcPr>
            <w:tcW w:w="1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182"/>
        </w:trPr>
        <w:tc>
          <w:tcPr>
            <w:tcW w:w="120" w:type="dxa"/>
            <w:vAlign w:val="bottom"/>
          </w:tcPr>
          <w:p>
            <w:pPr>
              <w:spacing w:after="0"/>
              <w:rPr>
                <w:sz w:val="15"/>
                <w:szCs w:val="15"/>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3"/>
        </w:trPr>
        <w:tc>
          <w:tcPr>
            <w:tcW w:w="12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120" w:type="dxa"/>
            <w:vAlign w:val="bottom"/>
          </w:tcPr>
          <w:p>
            <w:pPr>
              <w:spacing w:after="0"/>
              <w:rPr>
                <w:sz w:val="16"/>
                <w:szCs w:val="16"/>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86"/>
        </w:trPr>
        <w:tc>
          <w:tcPr>
            <w:tcW w:w="120" w:type="dxa"/>
            <w:vAlign w:val="bottom"/>
          </w:tcPr>
          <w:p>
            <w:pPr>
              <w:spacing w:after="0"/>
              <w:rPr>
                <w:sz w:val="16"/>
                <w:szCs w:val="16"/>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0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740" w:type="dxa"/>
        <w:tblCellMar>
          <w:top w:w="0" w:type="dxa"/>
          <w:left w:w="0" w:type="dxa"/>
          <w:bottom w:w="0" w:type="dxa"/>
          <w:right w:w="0" w:type="dxa"/>
        </w:tblCellMar>
      </w:tblPr>
      <w:tr>
        <w:trPr>
          <w:trHeight w:val="254"/>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22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39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ind w:right="560"/>
        <w:spacing w:after="0" w:line="261" w:lineRule="auto"/>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 As of November 10, 2020, there were 29,237,500 shares of the registrant’s Class A common stock, par value $0.001, and 65,578,831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Page</w:t>
            </w:r>
          </w:p>
        </w:tc>
      </w:tr>
      <w:tr>
        <w:trPr>
          <w:trHeight w:val="21"/>
        </w:trPr>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78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98"/>
              </w:rPr>
              <w:t>PART I - FINANCIAL INFORMATION</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9"/>
        </w:trPr>
        <w:tc>
          <w:tcPr>
            <w:tcW w:w="10120" w:type="dxa"/>
            <w:vAlign w:val="bottom"/>
            <w:gridSpan w:val="7"/>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 Financial Statements</w:t>
              </w:r>
            </w:hyperlink>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9"/>
        </w:trPr>
        <w:tc>
          <w:tcPr>
            <w:tcW w:w="10120" w:type="dxa"/>
            <w:vAlign w:val="bottom"/>
            <w:gridSpan w:val="7"/>
            <w:shd w:val="clear" w:color="auto" w:fill="CCEEFF"/>
          </w:tcPr>
          <w:p>
            <w:pPr>
              <w:ind w:left="520"/>
              <w:spacing w:after="0" w:line="189" w:lineRule="exact"/>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Balance Sheets as of September 30, 2020 and March 31,</w:t>
              </w:r>
              <w:r>
                <w:rPr>
                  <w:rFonts w:ascii="Arial" w:cs="Arial" w:eastAsia="Arial" w:hAnsi="Arial"/>
                  <w:sz w:val="18"/>
                  <w:szCs w:val="18"/>
                  <w:color w:val="0000FF"/>
                </w:rPr>
                <w:t xml:space="preserve"> 202</w:t>
              </w:r>
            </w:hyperlink>
            <w:r>
              <w:rPr>
                <w:rFonts w:ascii="Arial" w:cs="Arial" w:eastAsia="Arial" w:hAnsi="Arial"/>
                <w:sz w:val="18"/>
                <w:szCs w:val="18"/>
                <w:color w:val="0000FF"/>
              </w:rPr>
              <w:t>0</w:t>
            </w:r>
          </w:p>
        </w:tc>
        <w:tc>
          <w:tcPr>
            <w:tcW w:w="700" w:type="dxa"/>
            <w:vAlign w:val="bottom"/>
            <w:gridSpan w:val="2"/>
            <w:shd w:val="clear" w:color="auto" w:fill="CCEEFF"/>
          </w:tcPr>
          <w:p>
            <w:pPr>
              <w:jc w:val="center"/>
              <w:ind w:left="270"/>
              <w:spacing w:after="0" w:line="189"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4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0120" w:type="dxa"/>
            <w:vAlign w:val="bottom"/>
            <w:gridSpan w:val="7"/>
          </w:tcPr>
          <w:p>
            <w:pPr>
              <w:ind w:left="520"/>
              <w:spacing w:after="0"/>
              <w:rPr>
                <w:rFonts w:ascii="Arial" w:cs="Arial" w:eastAsia="Arial" w:hAnsi="Arial"/>
                <w:sz w:val="18"/>
                <w:szCs w:val="18"/>
                <w:u w:val="single" w:color="auto"/>
                <w:color w:val="0000FF"/>
                <w:w w:val="97"/>
              </w:rPr>
            </w:pPr>
            <w:hyperlink w:anchor="page6">
              <w:r>
                <w:rPr>
                  <w:rFonts w:ascii="Arial" w:cs="Arial" w:eastAsia="Arial" w:hAnsi="Arial"/>
                  <w:sz w:val="18"/>
                  <w:szCs w:val="18"/>
                  <w:u w:val="single" w:color="auto"/>
                  <w:color w:val="0000FF"/>
                  <w:w w:val="97"/>
                </w:rPr>
                <w:t>Condensed Consolidated Statements of Income (Loss) for the Three and Six Months Ended September 30, 2020 and 2019</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420" w:type="dxa"/>
            <w:vAlign w:val="bottom"/>
          </w:tcPr>
          <w:p>
            <w:pPr>
              <w:spacing w:after="0"/>
              <w:rPr>
                <w:sz w:val="19"/>
                <w:szCs w:val="19"/>
                <w:color w:val="auto"/>
              </w:rPr>
            </w:pPr>
          </w:p>
        </w:tc>
      </w:tr>
      <w:tr>
        <w:trPr>
          <w:trHeight w:val="189"/>
        </w:trPr>
        <w:tc>
          <w:tcPr>
            <w:tcW w:w="10120" w:type="dxa"/>
            <w:vAlign w:val="bottom"/>
            <w:gridSpan w:val="7"/>
            <w:shd w:val="clear" w:color="auto" w:fill="CCEEFF"/>
          </w:tcPr>
          <w:p>
            <w:pPr>
              <w:ind w:left="520"/>
              <w:spacing w:after="0" w:line="189" w:lineRule="exact"/>
              <w:rPr>
                <w:rFonts w:ascii="Arial" w:cs="Arial" w:eastAsia="Arial" w:hAnsi="Arial"/>
                <w:sz w:val="18"/>
                <w:szCs w:val="18"/>
                <w:color w:val="0000FF"/>
                <w:w w:val="92"/>
              </w:rPr>
            </w:pPr>
            <w:hyperlink w:anchor="page7">
              <w:r>
                <w:rPr>
                  <w:rFonts w:ascii="Arial" w:cs="Arial" w:eastAsia="Arial" w:hAnsi="Arial"/>
                  <w:sz w:val="18"/>
                  <w:szCs w:val="18"/>
                  <w:u w:val="single" w:color="auto"/>
                  <w:color w:val="0000FF"/>
                  <w:w w:val="92"/>
                </w:rPr>
                <w:t>Condensed Consolidated Statements of Comprehensive Income (Loss)</w:t>
              </w:r>
              <w:r>
                <w:rPr>
                  <w:rFonts w:ascii="Arial" w:cs="Arial" w:eastAsia="Arial" w:hAnsi="Arial"/>
                  <w:sz w:val="18"/>
                  <w:szCs w:val="18"/>
                  <w:color w:val="0000FF"/>
                  <w:w w:val="92"/>
                </w:rPr>
                <w:t xml:space="preserve"> for the Three and Six Months Ended September 30, 2020</w:t>
              </w:r>
            </w:hyperlink>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76"/>
        </w:trPr>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0000FF"/>
            </w:tcBorders>
            <w:shd w:val="clear" w:color="auto" w:fill="CCEEFF"/>
          </w:tcPr>
          <w:p>
            <w:pPr>
              <w:spacing w:after="0" w:line="156" w:lineRule="exact"/>
              <w:rPr>
                <w:rFonts w:ascii="Arial" w:cs="Arial" w:eastAsia="Arial" w:hAnsi="Arial"/>
                <w:sz w:val="18"/>
                <w:szCs w:val="18"/>
                <w:color w:val="0000FF"/>
                <w:w w:val="85"/>
              </w:rPr>
            </w:pPr>
            <w:hyperlink w:anchor="page7">
              <w:r>
                <w:rPr>
                  <w:rFonts w:ascii="Arial" w:cs="Arial" w:eastAsia="Arial" w:hAnsi="Arial"/>
                  <w:sz w:val="18"/>
                  <w:szCs w:val="18"/>
                  <w:color w:val="0000FF"/>
                  <w:w w:val="85"/>
                </w:rPr>
                <w:t>and 2019</w:t>
              </w:r>
            </w:hyperlink>
          </w:p>
        </w:tc>
        <w:tc>
          <w:tcPr>
            <w:tcW w:w="4260" w:type="dxa"/>
            <w:vAlign w:val="bottom"/>
            <w:tcBorders>
              <w:top w:val="single" w:sz="8" w:color="CCEEFF"/>
              <w:bottom w:val="single" w:sz="8" w:color="CCEEFF"/>
            </w:tcBorders>
            <w:shd w:val="clear" w:color="auto" w:fill="CCEEFF"/>
          </w:tcPr>
          <w:p>
            <w:pPr>
              <w:spacing w:after="0"/>
              <w:rPr>
                <w:sz w:val="15"/>
                <w:szCs w:val="15"/>
                <w:color w:val="auto"/>
              </w:rPr>
            </w:pPr>
          </w:p>
        </w:tc>
        <w:tc>
          <w:tcPr>
            <w:tcW w:w="416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gridSpan w:val="2"/>
            <w:shd w:val="clear" w:color="auto" w:fill="CCEEFF"/>
          </w:tcPr>
          <w:p>
            <w:pPr>
              <w:jc w:val="center"/>
              <w:ind w:left="270"/>
              <w:spacing w:after="0" w:line="156" w:lineRule="exact"/>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29"/>
        </w:trPr>
        <w:tc>
          <w:tcPr>
            <w:tcW w:w="10120" w:type="dxa"/>
            <w:vAlign w:val="bottom"/>
            <w:gridSpan w:val="7"/>
          </w:tcPr>
          <w:p>
            <w:pPr>
              <w:ind w:left="520"/>
              <w:spacing w:after="0"/>
              <w:rPr>
                <w:rFonts w:ascii="Arial" w:cs="Arial" w:eastAsia="Arial" w:hAnsi="Arial"/>
                <w:sz w:val="18"/>
                <w:szCs w:val="18"/>
                <w:u w:val="single" w:color="auto"/>
                <w:color w:val="0000FF"/>
                <w:w w:val="93"/>
              </w:rPr>
            </w:pPr>
            <w:hyperlink w:anchor="page8">
              <w:r>
                <w:rPr>
                  <w:rFonts w:ascii="Arial" w:cs="Arial" w:eastAsia="Arial" w:hAnsi="Arial"/>
                  <w:sz w:val="18"/>
                  <w:szCs w:val="18"/>
                  <w:u w:val="single" w:color="auto"/>
                  <w:color w:val="0000FF"/>
                  <w:w w:val="93"/>
                </w:rPr>
                <w:t>Condensed Consolidated Statements of Stockholders’ Equity for the Three and Six Months Ended September 30, 2020 and 2019</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c>
          <w:tcPr>
            <w:tcW w:w="420" w:type="dxa"/>
            <w:vAlign w:val="bottom"/>
          </w:tcPr>
          <w:p>
            <w:pPr>
              <w:spacing w:after="0"/>
              <w:rPr>
                <w:sz w:val="19"/>
                <w:szCs w:val="19"/>
                <w:color w:val="auto"/>
              </w:rPr>
            </w:pPr>
          </w:p>
        </w:tc>
      </w:tr>
      <w:tr>
        <w:trPr>
          <w:trHeight w:val="230"/>
        </w:trPr>
        <w:tc>
          <w:tcPr>
            <w:tcW w:w="10120" w:type="dxa"/>
            <w:vAlign w:val="bottom"/>
            <w:gridSpan w:val="7"/>
            <w:shd w:val="clear" w:color="auto" w:fill="CCEEFF"/>
          </w:tcPr>
          <w:p>
            <w:pPr>
              <w:ind w:left="5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Condensed Consolidated Statements of Cash Flows for the Six Months Ended September 30, 2020 and 2019</w:t>
              </w:r>
            </w:hyperlink>
          </w:p>
        </w:tc>
        <w:tc>
          <w:tcPr>
            <w:tcW w:w="700" w:type="dxa"/>
            <w:vAlign w:val="bottom"/>
            <w:gridSpan w:val="2"/>
            <w:shd w:val="clear" w:color="auto" w:fill="CCEEFF"/>
          </w:tcPr>
          <w:p>
            <w:pPr>
              <w:jc w:val="center"/>
              <w:ind w:left="270"/>
              <w:spacing w:after="0"/>
              <w:rPr>
                <w:rFonts w:ascii="Arial" w:cs="Arial" w:eastAsia="Arial" w:hAnsi="Arial"/>
                <w:sz w:val="18"/>
                <w:szCs w:val="18"/>
                <w:u w:val="single" w:color="auto"/>
                <w:color w:val="0000FF"/>
                <w:w w:val="89"/>
              </w:rPr>
            </w:pPr>
            <w:hyperlink w:anchor="page11">
              <w:r>
                <w:rPr>
                  <w:rFonts w:ascii="Arial" w:cs="Arial" w:eastAsia="Arial" w:hAnsi="Arial"/>
                  <w:sz w:val="18"/>
                  <w:szCs w:val="18"/>
                  <w:u w:val="single" w:color="auto"/>
                  <w:color w:val="0000FF"/>
                  <w:w w:val="89"/>
                </w:rPr>
                <w:t>12</w:t>
              </w:r>
            </w:hyperlink>
          </w:p>
        </w:tc>
        <w:tc>
          <w:tcPr>
            <w:tcW w:w="420" w:type="dxa"/>
            <w:vAlign w:val="bottom"/>
            <w:shd w:val="clear" w:color="auto" w:fill="CCEEFF"/>
          </w:tcPr>
          <w:p>
            <w:pPr>
              <w:spacing w:after="0"/>
              <w:rPr>
                <w:sz w:val="19"/>
                <w:szCs w:val="19"/>
                <w:color w:val="auto"/>
              </w:rPr>
            </w:pPr>
          </w:p>
        </w:tc>
      </w:tr>
      <w:tr>
        <w:trPr>
          <w:trHeight w:val="229"/>
        </w:trPr>
        <w:tc>
          <w:tcPr>
            <w:tcW w:w="10120" w:type="dxa"/>
            <w:vAlign w:val="bottom"/>
            <w:gridSpan w:val="7"/>
          </w:tcPr>
          <w:p>
            <w:pPr>
              <w:ind w:left="5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Notes to Condensed Consolidated Financial Statements</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89"/>
              </w:rPr>
            </w:pPr>
            <w:hyperlink w:anchor="page13">
              <w:r>
                <w:rPr>
                  <w:rFonts w:ascii="Arial" w:cs="Arial" w:eastAsia="Arial" w:hAnsi="Arial"/>
                  <w:sz w:val="18"/>
                  <w:szCs w:val="18"/>
                  <w:u w:val="single" w:color="auto"/>
                  <w:color w:val="0000FF"/>
                  <w:w w:val="89"/>
                </w:rPr>
                <w:t>14</w:t>
              </w:r>
            </w:hyperlink>
          </w:p>
        </w:tc>
        <w:tc>
          <w:tcPr>
            <w:tcW w:w="420" w:type="dxa"/>
            <w:vAlign w:val="bottom"/>
          </w:tcPr>
          <w:p>
            <w:pPr>
              <w:spacing w:after="0"/>
              <w:rPr>
                <w:sz w:val="19"/>
                <w:szCs w:val="19"/>
                <w:color w:val="auto"/>
              </w:rPr>
            </w:pPr>
          </w:p>
        </w:tc>
      </w:tr>
      <w:tr>
        <w:trPr>
          <w:trHeight w:val="230"/>
        </w:trPr>
        <w:tc>
          <w:tcPr>
            <w:tcW w:w="10120" w:type="dxa"/>
            <w:vAlign w:val="bottom"/>
            <w:gridSpan w:val="7"/>
            <w:shd w:val="clear" w:color="auto" w:fill="CCEEFF"/>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 Management’s Discussion and Analysis of Financial Condition and Results of Operations</w:t>
              </w:r>
            </w:hyperlink>
          </w:p>
        </w:tc>
        <w:tc>
          <w:tcPr>
            <w:tcW w:w="700" w:type="dxa"/>
            <w:vAlign w:val="bottom"/>
            <w:gridSpan w:val="2"/>
            <w:shd w:val="clear" w:color="auto" w:fill="CCEEFF"/>
          </w:tcPr>
          <w:p>
            <w:pPr>
              <w:jc w:val="center"/>
              <w:ind w:left="27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36</w:t>
              </w:r>
            </w:hyperlink>
          </w:p>
        </w:tc>
        <w:tc>
          <w:tcPr>
            <w:tcW w:w="420" w:type="dxa"/>
            <w:vAlign w:val="bottom"/>
            <w:shd w:val="clear" w:color="auto" w:fill="CCEEFF"/>
          </w:tcPr>
          <w:p>
            <w:pPr>
              <w:spacing w:after="0"/>
              <w:rPr>
                <w:sz w:val="19"/>
                <w:szCs w:val="19"/>
                <w:color w:val="auto"/>
              </w:rPr>
            </w:pPr>
          </w:p>
        </w:tc>
      </w:tr>
      <w:tr>
        <w:trPr>
          <w:trHeight w:val="229"/>
        </w:trPr>
        <w:tc>
          <w:tcPr>
            <w:tcW w:w="10120" w:type="dxa"/>
            <w:vAlign w:val="bottom"/>
            <w:gridSpan w:val="7"/>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3. Qualitative and Quantitative Disclosures about Market Risk</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63</w:t>
              </w:r>
            </w:hyperlink>
          </w:p>
        </w:tc>
        <w:tc>
          <w:tcPr>
            <w:tcW w:w="420" w:type="dxa"/>
            <w:vAlign w:val="bottom"/>
          </w:tcPr>
          <w:p>
            <w:pPr>
              <w:spacing w:after="0"/>
              <w:rPr>
                <w:sz w:val="19"/>
                <w:szCs w:val="19"/>
                <w:color w:val="auto"/>
              </w:rPr>
            </w:pPr>
          </w:p>
        </w:tc>
      </w:tr>
      <w:tr>
        <w:trPr>
          <w:trHeight w:val="229"/>
        </w:trPr>
        <w:tc>
          <w:tcPr>
            <w:tcW w:w="10120" w:type="dxa"/>
            <w:vAlign w:val="bottom"/>
            <w:gridSpan w:val="7"/>
            <w:shd w:val="clear" w:color="auto" w:fill="CCEEFF"/>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4. Controls and Procedures</w:t>
              </w:r>
            </w:hyperlink>
          </w:p>
        </w:tc>
        <w:tc>
          <w:tcPr>
            <w:tcW w:w="700" w:type="dxa"/>
            <w:vAlign w:val="bottom"/>
            <w:gridSpan w:val="2"/>
            <w:shd w:val="clear" w:color="auto" w:fill="CCEEFF"/>
          </w:tcPr>
          <w:p>
            <w:pPr>
              <w:jc w:val="center"/>
              <w:ind w:left="270"/>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65</w:t>
              </w:r>
            </w:hyperlink>
          </w:p>
        </w:tc>
        <w:tc>
          <w:tcPr>
            <w:tcW w:w="420" w:type="dxa"/>
            <w:vAlign w:val="bottom"/>
            <w:shd w:val="clear" w:color="auto" w:fill="CCEEFF"/>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80" w:type="dxa"/>
            <w:vAlign w:val="bottom"/>
            <w:gridSpan w:val="5"/>
          </w:tcPr>
          <w:p>
            <w:pPr>
              <w:jc w:val="center"/>
              <w:ind w:right="220"/>
              <w:spacing w:after="0"/>
              <w:rPr>
                <w:sz w:val="20"/>
                <w:szCs w:val="20"/>
                <w:color w:val="auto"/>
              </w:rPr>
            </w:pPr>
            <w:r>
              <w:rPr>
                <w:rFonts w:ascii="Arial" w:cs="Arial" w:eastAsia="Arial" w:hAnsi="Arial"/>
                <w:sz w:val="18"/>
                <w:szCs w:val="18"/>
                <w:color w:val="auto"/>
                <w:w w:val="96"/>
              </w:rPr>
              <w:t>PART II - OTHER INFORMATION</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10120" w:type="dxa"/>
            <w:vAlign w:val="bottom"/>
            <w:gridSpan w:val="7"/>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1. Legal Proceedings</w:t>
              </w:r>
            </w:hyperlink>
          </w:p>
        </w:tc>
        <w:tc>
          <w:tcPr>
            <w:tcW w:w="700" w:type="dxa"/>
            <w:vAlign w:val="bottom"/>
            <w:gridSpan w:val="2"/>
            <w:shd w:val="clear" w:color="auto" w:fill="CCEEFF"/>
          </w:tcPr>
          <w:p>
            <w:pPr>
              <w:jc w:val="center"/>
              <w:ind w:left="27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shd w:val="clear" w:color="auto" w:fill="CCEEFF"/>
          </w:tcPr>
          <w:p>
            <w:pPr>
              <w:spacing w:after="0"/>
              <w:rPr>
                <w:sz w:val="19"/>
                <w:szCs w:val="19"/>
                <w:color w:val="auto"/>
              </w:rPr>
            </w:pPr>
          </w:p>
        </w:tc>
      </w:tr>
      <w:tr>
        <w:trPr>
          <w:trHeight w:val="229"/>
        </w:trPr>
        <w:tc>
          <w:tcPr>
            <w:tcW w:w="10120" w:type="dxa"/>
            <w:vAlign w:val="bottom"/>
            <w:gridSpan w:val="7"/>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1A. Risk Factors</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tcPr>
          <w:p>
            <w:pPr>
              <w:spacing w:after="0"/>
              <w:rPr>
                <w:sz w:val="19"/>
                <w:szCs w:val="19"/>
                <w:color w:val="auto"/>
              </w:rPr>
            </w:pPr>
          </w:p>
        </w:tc>
      </w:tr>
      <w:tr>
        <w:trPr>
          <w:trHeight w:val="230"/>
        </w:trPr>
        <w:tc>
          <w:tcPr>
            <w:tcW w:w="10120" w:type="dxa"/>
            <w:vAlign w:val="bottom"/>
            <w:gridSpan w:val="7"/>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2. Unregistered Sales of Equity Securities and Use of Proceeds</w:t>
              </w:r>
            </w:hyperlink>
          </w:p>
        </w:tc>
        <w:tc>
          <w:tcPr>
            <w:tcW w:w="700" w:type="dxa"/>
            <w:vAlign w:val="bottom"/>
            <w:gridSpan w:val="2"/>
            <w:shd w:val="clear" w:color="auto" w:fill="CCEEFF"/>
          </w:tcPr>
          <w:p>
            <w:pPr>
              <w:jc w:val="center"/>
              <w:ind w:left="27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shd w:val="clear" w:color="auto" w:fill="CCEEFF"/>
          </w:tcPr>
          <w:p>
            <w:pPr>
              <w:spacing w:after="0"/>
              <w:rPr>
                <w:sz w:val="19"/>
                <w:szCs w:val="19"/>
                <w:color w:val="auto"/>
              </w:rPr>
            </w:pPr>
          </w:p>
        </w:tc>
      </w:tr>
      <w:tr>
        <w:trPr>
          <w:trHeight w:val="229"/>
        </w:trPr>
        <w:tc>
          <w:tcPr>
            <w:tcW w:w="10120" w:type="dxa"/>
            <w:vAlign w:val="bottom"/>
            <w:gridSpan w:val="7"/>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 Defaults Upon Senior Securities</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tcPr>
          <w:p>
            <w:pPr>
              <w:spacing w:after="0"/>
              <w:rPr>
                <w:sz w:val="19"/>
                <w:szCs w:val="19"/>
                <w:color w:val="auto"/>
              </w:rPr>
            </w:pPr>
          </w:p>
        </w:tc>
      </w:tr>
      <w:tr>
        <w:trPr>
          <w:trHeight w:val="230"/>
        </w:trPr>
        <w:tc>
          <w:tcPr>
            <w:tcW w:w="10120" w:type="dxa"/>
            <w:vAlign w:val="bottom"/>
            <w:gridSpan w:val="7"/>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 Mine Safety Disclosures</w:t>
              </w:r>
            </w:hyperlink>
          </w:p>
        </w:tc>
        <w:tc>
          <w:tcPr>
            <w:tcW w:w="700" w:type="dxa"/>
            <w:vAlign w:val="bottom"/>
            <w:gridSpan w:val="2"/>
            <w:shd w:val="clear" w:color="auto" w:fill="CCEEFF"/>
          </w:tcPr>
          <w:p>
            <w:pPr>
              <w:jc w:val="center"/>
              <w:ind w:left="27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shd w:val="clear" w:color="auto" w:fill="CCEEFF"/>
          </w:tcPr>
          <w:p>
            <w:pPr>
              <w:spacing w:after="0"/>
              <w:rPr>
                <w:sz w:val="19"/>
                <w:szCs w:val="19"/>
                <w:color w:val="auto"/>
              </w:rPr>
            </w:pPr>
          </w:p>
        </w:tc>
      </w:tr>
      <w:tr>
        <w:trPr>
          <w:trHeight w:val="229"/>
        </w:trPr>
        <w:tc>
          <w:tcPr>
            <w:tcW w:w="10120" w:type="dxa"/>
            <w:vAlign w:val="bottom"/>
            <w:gridSpan w:val="7"/>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5. Other Information</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tcPr>
          <w:p>
            <w:pPr>
              <w:spacing w:after="0"/>
              <w:rPr>
                <w:sz w:val="19"/>
                <w:szCs w:val="19"/>
                <w:color w:val="auto"/>
              </w:rPr>
            </w:pPr>
          </w:p>
        </w:tc>
      </w:tr>
      <w:tr>
        <w:trPr>
          <w:trHeight w:val="230"/>
        </w:trPr>
        <w:tc>
          <w:tcPr>
            <w:tcW w:w="10120" w:type="dxa"/>
            <w:vAlign w:val="bottom"/>
            <w:gridSpan w:val="7"/>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6. Exhibits</w:t>
              </w:r>
            </w:hyperlink>
          </w:p>
        </w:tc>
        <w:tc>
          <w:tcPr>
            <w:tcW w:w="700" w:type="dxa"/>
            <w:vAlign w:val="bottom"/>
            <w:gridSpan w:val="2"/>
            <w:shd w:val="clear" w:color="auto" w:fill="CCEEFF"/>
          </w:tcPr>
          <w:p>
            <w:pPr>
              <w:jc w:val="center"/>
              <w:ind w:left="27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67</w:t>
              </w:r>
            </w:hyperlink>
          </w:p>
        </w:tc>
        <w:tc>
          <w:tcPr>
            <w:tcW w:w="420" w:type="dxa"/>
            <w:vAlign w:val="bottom"/>
            <w:shd w:val="clear" w:color="auto" w:fill="CCEEFF"/>
          </w:tcPr>
          <w:p>
            <w:pPr>
              <w:spacing w:after="0"/>
              <w:rPr>
                <w:sz w:val="19"/>
                <w:szCs w:val="19"/>
                <w:color w:val="auto"/>
              </w:rPr>
            </w:pPr>
          </w:p>
        </w:tc>
      </w:tr>
      <w:tr>
        <w:trPr>
          <w:trHeight w:val="230"/>
        </w:trPr>
        <w:tc>
          <w:tcPr>
            <w:tcW w:w="10120" w:type="dxa"/>
            <w:vAlign w:val="bottom"/>
            <w:gridSpan w:val="7"/>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Signatures</w:t>
              </w:r>
            </w:hyperlink>
          </w:p>
        </w:tc>
        <w:tc>
          <w:tcPr>
            <w:tcW w:w="700" w:type="dxa"/>
            <w:vAlign w:val="bottom"/>
            <w:gridSpan w:val="2"/>
          </w:tcPr>
          <w:p>
            <w:pPr>
              <w:jc w:val="center"/>
              <w:ind w:left="270"/>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68</w:t>
              </w:r>
            </w:hyperlink>
          </w:p>
        </w:tc>
        <w:tc>
          <w:tcPr>
            <w:tcW w:w="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660" w:right="104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660" w:hanging="4"/>
        <w:spacing w:after="0" w:line="253"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 following the Reorganization and IPO (as defined below) and to the Partnership and its consolidated subsidiaries prior to the Reorganization and IPO;</w:t>
      </w:r>
    </w:p>
    <w:p>
      <w:pPr>
        <w:spacing w:after="0" w:line="177" w:lineRule="exact"/>
        <w:rPr>
          <w:rFonts w:ascii="Arial" w:cs="Arial" w:eastAsia="Arial" w:hAnsi="Arial"/>
          <w:sz w:val="20"/>
          <w:szCs w:val="20"/>
          <w:color w:val="auto"/>
        </w:rPr>
      </w:pPr>
    </w:p>
    <w:p>
      <w:pPr>
        <w:ind w:left="660" w:right="2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Funds</w:t>
      </w:r>
      <w:r>
        <w:rPr>
          <w:rFonts w:ascii="Arial" w:cs="Arial" w:eastAsia="Arial" w:hAnsi="Arial"/>
          <w:sz w:val="20"/>
          <w:szCs w:val="20"/>
          <w:color w:val="auto"/>
        </w:rPr>
        <w:t>” or “</w:t>
      </w:r>
      <w:r>
        <w:rPr>
          <w:rFonts w:ascii="Arial" w:cs="Arial" w:eastAsia="Arial" w:hAnsi="Arial"/>
          <w:sz w:val="20"/>
          <w:szCs w:val="20"/>
          <w:b w:val="1"/>
          <w:bCs w:val="1"/>
          <w:color w:val="auto"/>
        </w:rPr>
        <w:t>our funds</w:t>
      </w:r>
      <w:r>
        <w:rPr>
          <w:rFonts w:ascii="Arial" w:cs="Arial" w:eastAsia="Arial" w:hAnsi="Arial"/>
          <w:sz w:val="20"/>
          <w:szCs w:val="20"/>
          <w:color w:val="auto"/>
        </w:rPr>
        <w:t>” refers to our focused commingled funds and our separately managed accounts, for which we act as both investment adviser and general partner or managing member;</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Reorganization</w:t>
      </w:r>
      <w:r>
        <w:rPr>
          <w:rFonts w:ascii="Arial" w:cs="Arial" w:eastAsia="Arial" w:hAnsi="Arial"/>
          <w:sz w:val="18"/>
          <w:szCs w:val="18"/>
          <w:color w:val="auto"/>
        </w:rPr>
        <w:t>” refer to the series of transactions immediately before the Company's initial public offering</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94" w:lineRule="exact"/>
        <w:rPr>
          <w:sz w:val="20"/>
          <w:szCs w:val="20"/>
          <w:color w:val="auto"/>
        </w:rPr>
      </w:pPr>
    </w:p>
    <w:p>
      <w:pPr>
        <w:ind w:left="660" w:right="6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refer to the aggregate amount of our assets under management and our assets under advisement;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660" w:right="22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163"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our prospectus dated September 15, 2020, filed with the U.S. Securities and Exchange Commission (“SEC”) in accordance with Rule 424(b) of the Securities Act on September 16, 2020, which is accessible on the SEC's website at www.sec.gov. These factors should not be construed as exhaustive and should be read in conjunction with the other cautionary statements that are included in this Form 10-Q and in the prospectus.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12"/>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156,908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89,939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25,121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funds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Accrued carried interest allocations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486,206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460,837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assets and receivables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817,724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680,829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 partners’ capital</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23,185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carried interest-related compensation</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245,754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143,144</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393,329</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443,862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Partners’ capital</w:t>
            </w:r>
          </w:p>
        </w:tc>
        <w:tc>
          <w:tcPr>
            <w:tcW w:w="4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216,051</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Class A common stock, $0.001 par value, 650,000,000 authorized; 29,237,500 issued and outstanding as of</w:t>
            </w:r>
          </w:p>
        </w:tc>
        <w:tc>
          <w:tcPr>
            <w:tcW w:w="4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2020</w:t>
            </w:r>
          </w:p>
        </w:tc>
        <w:tc>
          <w:tcPr>
            <w:tcW w:w="4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$0.001 par value, 125,000,000 authorized; 65,578,831 issued and outstanding as of</w:t>
            </w:r>
          </w:p>
        </w:tc>
        <w:tc>
          <w:tcPr>
            <w:tcW w:w="4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September 30, 2020</w:t>
            </w:r>
          </w:p>
        </w:tc>
        <w:tc>
          <w:tcPr>
            <w:tcW w:w="4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StepStone Group Inc. stockholders' equity / partners' capital</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119,561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216,229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the Partnership</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284,105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 partners' capital</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424,395</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236,967</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 / partners' capital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817,724</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680,829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 2020</w:t>
            </w: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March 31, 2020</w:t>
            </w:r>
          </w:p>
        </w:tc>
      </w:tr>
      <w:tr>
        <w:trPr>
          <w:trHeight w:val="212"/>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19,361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17,565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 and accounts receivable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3,987</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receivables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52,381</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10,686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6,225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to affiliates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(Loss)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5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Six Months Ended September 30,</w:t>
            </w:r>
          </w:p>
        </w:tc>
      </w:tr>
      <w:tr>
        <w:trPr>
          <w:trHeight w:val="210"/>
        </w:trPr>
        <w:tc>
          <w:tcPr>
            <w:tcW w:w="57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Management and advisory fees,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75,652</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53,793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139,152</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104,761</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fees: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360"/>
              <w:spacing w:after="0"/>
              <w:rPr>
                <w:sz w:val="20"/>
                <w:szCs w:val="20"/>
                <w:color w:val="auto"/>
              </w:rPr>
            </w:pPr>
            <w:r>
              <w:rPr>
                <w:rFonts w:ascii="Arial" w:cs="Arial" w:eastAsia="Arial" w:hAnsi="Arial"/>
                <w:sz w:val="16"/>
                <w:szCs w:val="16"/>
                <w:color w:val="auto"/>
              </w:rPr>
              <w:t>Incentive fees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2,397</w:t>
            </w:r>
          </w:p>
        </w:tc>
      </w:tr>
      <w:tr>
        <w:trPr>
          <w:trHeight w:val="219"/>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Carried interest allocation: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720"/>
              <w:spacing w:after="0"/>
              <w:rPr>
                <w:sz w:val="20"/>
                <w:szCs w:val="20"/>
                <w:color w:val="auto"/>
              </w:rPr>
            </w:pPr>
            <w:r>
              <w:rPr>
                <w:rFonts w:ascii="Arial" w:cs="Arial" w:eastAsia="Arial" w:hAnsi="Arial"/>
                <w:sz w:val="16"/>
                <w:szCs w:val="16"/>
                <w:color w:val="auto"/>
              </w:rPr>
              <w:t>Realized allocation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12,194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23,959</w:t>
            </w:r>
          </w:p>
        </w:tc>
      </w:tr>
      <w:tr>
        <w:trPr>
          <w:trHeight w:val="219"/>
        </w:trPr>
        <w:tc>
          <w:tcPr>
            <w:tcW w:w="57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Unrealized allocation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157,509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66,245</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100,334</w:t>
            </w:r>
          </w:p>
        </w:tc>
      </w:tr>
      <w:tr>
        <w:trPr>
          <w:trHeight w:val="206"/>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carried interest allocation</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166,065</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77,304</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37,563</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124,293</w:t>
            </w:r>
          </w:p>
        </w:tc>
      </w:tr>
      <w:tr>
        <w:trPr>
          <w:trHeight w:val="213"/>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242,913</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131,872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181,500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231,451</w:t>
            </w:r>
          </w:p>
        </w:tc>
      </w:tr>
      <w:tr>
        <w:trPr>
          <w:trHeight w:val="193"/>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400"/>
              <w:spacing w:after="0"/>
              <w:rPr>
                <w:sz w:val="20"/>
                <w:szCs w:val="20"/>
                <w:color w:val="auto"/>
              </w:rPr>
            </w:pPr>
            <w:r>
              <w:rPr>
                <w:rFonts w:ascii="Arial" w:cs="Arial" w:eastAsia="Arial" w:hAnsi="Arial"/>
                <w:sz w:val="16"/>
                <w:szCs w:val="16"/>
                <w:color w:val="auto"/>
              </w:rPr>
              <w:t>Cash-based compensation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77,126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60,595</w:t>
            </w:r>
          </w:p>
        </w:tc>
      </w:tr>
      <w:tr>
        <w:trPr>
          <w:trHeight w:val="219"/>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Equity-based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13"/>
        </w:trPr>
        <w:tc>
          <w:tcPr>
            <w:tcW w:w="5700" w:type="dxa"/>
            <w:vAlign w:val="bottom"/>
          </w:tcPr>
          <w:p>
            <w:pPr>
              <w:ind w:left="400"/>
              <w:spacing w:after="0"/>
              <w:rPr>
                <w:sz w:val="20"/>
                <w:szCs w:val="20"/>
                <w:color w:val="auto"/>
              </w:rPr>
            </w:pPr>
            <w:r>
              <w:rPr>
                <w:rFonts w:ascii="Arial" w:cs="Arial" w:eastAsia="Arial" w:hAnsi="Arial"/>
                <w:sz w:val="16"/>
                <w:szCs w:val="16"/>
                <w:color w:val="auto"/>
              </w:rPr>
              <w:t>Performance fee-related compensation: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7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Realized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14,164</w:t>
            </w:r>
          </w:p>
        </w:tc>
      </w:tr>
      <w:tr>
        <w:trPr>
          <w:trHeight w:val="213"/>
        </w:trPr>
        <w:tc>
          <w:tcPr>
            <w:tcW w:w="57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Unrealized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78,533</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33,794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50,545</w:t>
            </w:r>
          </w:p>
        </w:tc>
      </w:tr>
      <w:tr>
        <w:trPr>
          <w:trHeight w:val="212"/>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performance fee-related compensation</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83,344</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17,569</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64,709</w:t>
            </w:r>
          </w:p>
        </w:tc>
      </w:tr>
      <w:tr>
        <w:trPr>
          <w:trHeight w:val="207"/>
        </w:trPr>
        <w:tc>
          <w:tcPr>
            <w:tcW w:w="5700" w:type="dxa"/>
            <w:vAlign w:val="bottom"/>
          </w:tcPr>
          <w:p>
            <w:pPr>
              <w:ind w:left="20"/>
              <w:spacing w:after="0"/>
              <w:rPr>
                <w:sz w:val="20"/>
                <w:szCs w:val="20"/>
                <w:color w:val="auto"/>
              </w:rPr>
            </w:pPr>
            <w:r>
              <w:rPr>
                <w:rFonts w:ascii="Arial" w:cs="Arial" w:eastAsia="Arial" w:hAnsi="Arial"/>
                <w:sz w:val="16"/>
                <w:szCs w:val="16"/>
                <w:color w:val="auto"/>
              </w:rPr>
              <w:t>Total compensation and benefits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121,769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71,580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96,130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126,254</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12,763</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21,401</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25,090</w:t>
            </w:r>
          </w:p>
        </w:tc>
      </w:tr>
      <w:tr>
        <w:trPr>
          <w:trHeight w:val="206"/>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132,883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84,343</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117,531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151,344</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3,212</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(5,313)</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7"/>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other income (expense)</w:t>
            </w: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2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(5,921)</w:t>
            </w:r>
          </w:p>
        </w:tc>
        <w:tc>
          <w:tcPr>
            <w:tcW w:w="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(1,061)</w:t>
            </w: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109,250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79,046</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108,369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77,369</w:t>
            </w:r>
          </w:p>
        </w:tc>
      </w:tr>
      <w:tr>
        <w:trPr>
          <w:trHeight w:val="213"/>
        </w:trPr>
        <w:tc>
          <w:tcPr>
            <w:tcW w:w="5700" w:type="dxa"/>
            <w:vAlign w:val="bottom"/>
          </w:tcPr>
          <w:p>
            <w:pPr>
              <w:ind w:left="400"/>
              <w:spacing w:after="0"/>
              <w:rPr>
                <w:sz w:val="20"/>
                <w:szCs w:val="20"/>
                <w:color w:val="auto"/>
              </w:rPr>
            </w:pPr>
            <w:r>
              <w:rPr>
                <w:rFonts w:ascii="Arial" w:cs="Arial" w:eastAsia="Arial" w:hAnsi="Arial"/>
                <w:sz w:val="16"/>
                <w:szCs w:val="16"/>
                <w:color w:val="auto"/>
              </w:rPr>
              <w:t>Less: Net income attributable to non-controlling interests in subsidiaries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4,486</w:t>
            </w: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9"/>
              </w:rPr>
              <w:t>Less: Net income attributable to non-controlling interests in the Partnership</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100,114</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44,365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43,661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72,883</w:t>
            </w:r>
          </w:p>
        </w:tc>
      </w:tr>
      <w:tr>
        <w:trPr>
          <w:trHeight w:val="213"/>
        </w:trPr>
        <w:tc>
          <w:tcPr>
            <w:tcW w:w="5700" w:type="dxa"/>
            <w:vAlign w:val="bottom"/>
          </w:tcPr>
          <w:p>
            <w:pPr>
              <w:ind w:left="20"/>
              <w:spacing w:after="0" w:line="213" w:lineRule="exact"/>
              <w:rPr>
                <w:sz w:val="20"/>
                <w:szCs w:val="20"/>
                <w:color w:val="auto"/>
              </w:rPr>
            </w:pPr>
            <w:r>
              <w:rPr>
                <w:rFonts w:ascii="Arial" w:cs="Arial" w:eastAsia="Arial" w:hAnsi="Arial"/>
                <w:sz w:val="16"/>
                <w:szCs w:val="16"/>
                <w:color w:val="auto"/>
              </w:rPr>
              <w:t>Net loss attributable to StepStone Group Inc.</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(790)</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(790)</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5700" w:type="dxa"/>
            <w:vAlign w:val="bottom"/>
          </w:tcPr>
          <w:p>
            <w:pPr>
              <w:ind w:left="20"/>
              <w:spacing w:after="0" w:line="216" w:lineRule="exact"/>
              <w:rPr>
                <w:sz w:val="20"/>
                <w:szCs w:val="20"/>
                <w:color w:val="auto"/>
              </w:rPr>
            </w:pPr>
            <w:r>
              <w:rPr>
                <w:rFonts w:ascii="Arial" w:cs="Arial" w:eastAsia="Arial" w:hAnsi="Arial"/>
                <w:sz w:val="16"/>
                <w:szCs w:val="16"/>
                <w:color w:val="auto"/>
              </w:rPr>
              <w:t>Net loss per share of Class A common stock</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line="216" w:lineRule="exact"/>
              <w:rPr>
                <w:sz w:val="20"/>
                <w:szCs w:val="20"/>
                <w:color w:val="auto"/>
              </w:rPr>
            </w:pPr>
            <w:r>
              <w:rPr>
                <w:rFonts w:ascii="Arial" w:cs="Arial" w:eastAsia="Arial" w:hAnsi="Arial"/>
                <w:sz w:val="16"/>
                <w:szCs w:val="16"/>
                <w:color w:val="auto"/>
              </w:rPr>
              <w:t>Weighted-average shares of Class A common stock</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29,237,500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29,237,500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bl>
    <w:p>
      <w:pPr>
        <w:spacing w:after="0" w:line="89" w:lineRule="exact"/>
        <w:rPr>
          <w:sz w:val="20"/>
          <w:szCs w:val="20"/>
          <w:color w:val="auto"/>
        </w:rPr>
      </w:pPr>
    </w:p>
    <w:p>
      <w:pPr>
        <w:ind w:left="660" w:right="100" w:hanging="652"/>
        <w:spacing w:after="0" w:line="312" w:lineRule="auto"/>
        <w:tabs>
          <w:tab w:leader="none" w:pos="652"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the period following the Reorganization and IPO, from September 16, 2020 to September 30, 2020, as described in note 1. The net loss reflects SSG’s portion of the write-off of $3.5 million in deferred debt issuance costs after the IPO in connection with the full repayment of the previously outstanding senior secured term loan.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90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w w:val="94"/>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0"/>
        </w:trPr>
        <w:tc>
          <w:tcPr>
            <w:tcW w:w="5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77,369</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before non-controlling interests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77,319</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56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56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the Partnership</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right"/>
              <w:ind w:right="370"/>
              <w:spacing w:after="0"/>
              <w:rPr>
                <w:sz w:val="20"/>
                <w:szCs w:val="20"/>
                <w:color w:val="auto"/>
              </w:rPr>
            </w:pPr>
            <w:r>
              <w:rPr>
                <w:rFonts w:ascii="Arial" w:cs="Arial" w:eastAsia="Arial" w:hAnsi="Arial"/>
                <w:sz w:val="18"/>
                <w:szCs w:val="18"/>
                <w:color w:val="auto"/>
              </w:rPr>
              <w:t>9,185</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1,871</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13,412</w:t>
            </w:r>
          </w:p>
        </w:tc>
        <w:tc>
          <w:tcPr>
            <w:tcW w:w="960" w:type="dxa"/>
            <w:vAlign w:val="bottom"/>
          </w:tcPr>
          <w:p>
            <w:pPr>
              <w:jc w:val="right"/>
              <w:spacing w:after="0"/>
              <w:rPr>
                <w:sz w:val="20"/>
                <w:szCs w:val="20"/>
                <w:color w:val="auto"/>
              </w:rPr>
            </w:pPr>
            <w:r>
              <w:rPr>
                <w:rFonts w:ascii="Arial" w:cs="Arial" w:eastAsia="Arial" w:hAnsi="Arial"/>
                <w:sz w:val="18"/>
                <w:szCs w:val="18"/>
                <w:color w:val="auto"/>
              </w:rPr>
              <w:t>4,460</w:t>
            </w:r>
          </w:p>
        </w:tc>
      </w:tr>
      <w:tr>
        <w:trPr>
          <w:trHeight w:val="310"/>
        </w:trPr>
        <w:tc>
          <w:tcPr>
            <w:tcW w:w="1060" w:type="dxa"/>
            <w:vAlign w:val="bottom"/>
          </w:tcPr>
          <w:p>
            <w:pPr>
              <w:jc w:val="right"/>
              <w:ind w:right="370"/>
              <w:spacing w:after="0"/>
              <w:rPr>
                <w:sz w:val="20"/>
                <w:szCs w:val="20"/>
                <w:color w:val="auto"/>
              </w:rPr>
            </w:pPr>
            <w:r>
              <w:rPr>
                <w:rFonts w:ascii="Arial" w:cs="Arial" w:eastAsia="Arial" w:hAnsi="Arial"/>
                <w:sz w:val="18"/>
                <w:szCs w:val="18"/>
                <w:color w:val="auto"/>
                <w:w w:val="89"/>
              </w:rPr>
              <w:t>100,271</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44,247</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43,946</w:t>
            </w:r>
          </w:p>
        </w:tc>
        <w:tc>
          <w:tcPr>
            <w:tcW w:w="960" w:type="dxa"/>
            <w:vAlign w:val="bottom"/>
          </w:tcPr>
          <w:p>
            <w:pPr>
              <w:jc w:val="right"/>
              <w:spacing w:after="0"/>
              <w:rPr>
                <w:sz w:val="20"/>
                <w:szCs w:val="20"/>
                <w:color w:val="auto"/>
              </w:rPr>
            </w:pPr>
            <w:r>
              <w:rPr>
                <w:rFonts w:ascii="Arial" w:cs="Arial" w:eastAsia="Arial" w:hAnsi="Arial"/>
                <w:sz w:val="18"/>
                <w:szCs w:val="18"/>
                <w:color w:val="auto"/>
              </w:rPr>
              <w:t>72,859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59690</wp:posOffset>
            </wp:positionV>
            <wp:extent cx="3514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580" w:space="660"/>
            <w:col w:w="5000"/>
          </w:cols>
          <w:pgMar w:left="320" w:top="118" w:right="339" w:bottom="1440" w:gutter="0" w:footer="0" w:header="0"/>
          <w:type w:val="continuous"/>
        </w:sectPr>
      </w:pPr>
    </w:p>
    <w:p>
      <w:pPr>
        <w:ind w:left="20"/>
        <w:spacing w:after="0"/>
        <w:tabs>
          <w:tab w:leader="none" w:pos="5700" w:val="left"/>
          <w:tab w:leader="none" w:pos="6460" w:val="left"/>
          <w:tab w:leader="none" w:pos="7140" w:val="left"/>
          <w:tab w:leader="none" w:pos="8080" w:val="left"/>
          <w:tab w:leader="none" w:pos="8600" w:val="left"/>
          <w:tab w:leader="none" w:pos="9360" w:val="left"/>
          <w:tab w:leader="none" w:pos="10040" w:val="left"/>
          <w:tab w:leader="none" w:pos="10960" w:val="left"/>
        </w:tabs>
        <w:rPr>
          <w:sz w:val="20"/>
          <w:szCs w:val="20"/>
          <w:color w:val="auto"/>
        </w:rPr>
      </w:pPr>
      <w:r>
        <w:rPr>
          <w:rFonts w:ascii="Arial" w:cs="Arial" w:eastAsia="Arial" w:hAnsi="Arial"/>
          <w:sz w:val="18"/>
          <w:szCs w:val="18"/>
          <w:color w:val="auto"/>
        </w:rPr>
        <w:t>Comprehensive loss attributable to StepStone Group Inc.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(812)</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51472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4725" cy="342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20" w:type="dxa"/>
            <w:vAlign w:val="bottom"/>
          </w:tcPr>
          <w:p>
            <w:pPr>
              <w:spacing w:after="0"/>
              <w:rPr>
                <w:sz w:val="10"/>
                <w:szCs w:val="10"/>
                <w:color w:val="auto"/>
              </w:rPr>
            </w:pPr>
          </w:p>
        </w:tc>
        <w:tc>
          <w:tcPr>
            <w:tcW w:w="7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1"/>
              </w:rPr>
              <w:t>Equity / Partners'</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Subsidiaries</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20" w:type="dxa"/>
            <w:vAlign w:val="bottom"/>
          </w:tcPr>
          <w:p>
            <w:pPr>
              <w:spacing w:after="0"/>
              <w:rPr>
                <w:sz w:val="12"/>
                <w:szCs w:val="12"/>
                <w:color w:val="auto"/>
              </w:rPr>
            </w:pPr>
          </w:p>
        </w:tc>
        <w:tc>
          <w:tcPr>
            <w:tcW w:w="78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134,907</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20,848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156,061</w:t>
            </w: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2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101,718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8,335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110,053</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Other comprehensive income prior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423</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w w:val="96"/>
              </w:rPr>
              <w:t>Contributed capital prior to Reorganization and IPO</w:t>
            </w:r>
          </w:p>
        </w:tc>
        <w:tc>
          <w:tcPr>
            <w:tcW w:w="2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89"/>
              </w:rPr>
              <w:t>Equity-based compensation prior to Reorganization and</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240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(9,044)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(34,279)</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controlling interests prior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w w:val="94"/>
              </w:rPr>
              <w:t>Effect of Reorganization and purchase of units in the</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(211,894)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ind w:left="500"/>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23,432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188,893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2"/>
              </w:rPr>
              <w:t>Issuance of Class A common stock sold in IPO, net of</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337,778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w w:val="88"/>
              </w:rPr>
              <w:t>Purchase of partnership interests with IPO net proceeds</w:t>
            </w:r>
          </w:p>
        </w:tc>
        <w:tc>
          <w:tcPr>
            <w:tcW w:w="2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60" w:type="dxa"/>
            <w:vAlign w:val="bottom"/>
          </w:tcPr>
          <w:p>
            <w:pPr>
              <w:ind w:left="520"/>
              <w:spacing w:after="0"/>
              <w:rPr>
                <w:sz w:val="20"/>
                <w:szCs w:val="20"/>
                <w:color w:val="auto"/>
              </w:rPr>
            </w:pPr>
            <w:r>
              <w:rPr>
                <w:rFonts w:ascii="Arial" w:cs="Arial" w:eastAsia="Arial" w:hAnsi="Arial"/>
                <w:sz w:val="11"/>
                <w:szCs w:val="11"/>
                <w:color w:val="auto"/>
                <w:w w:val="88"/>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(127,979)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Deferred IPO costs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(2,981)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(6,686)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(9,667)</w:t>
            </w: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40"/>
              <w:spacing w:after="0" w:line="108" w:lineRule="exact"/>
              <w:rPr>
                <w:sz w:val="20"/>
                <w:szCs w:val="20"/>
                <w:color w:val="auto"/>
              </w:rPr>
            </w:pPr>
            <w:r>
              <w:rPr>
                <w:rFonts w:ascii="Arial" w:cs="Arial" w:eastAsia="Arial" w:hAnsi="Arial"/>
                <w:sz w:val="11"/>
                <w:szCs w:val="11"/>
                <w:color w:val="auto"/>
                <w:w w:val="95"/>
              </w:rPr>
              <w:t>controlling interests subsequent to Reorganization</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(103,063)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103,063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2"/>
              </w:rPr>
              <w:t>Deferred tax effect resulting from purchase of Class B</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units, net of amounts payable under TRA</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w w:val="94"/>
              </w:rPr>
              <w:t>Net income (loss) subsequent to Reorganization and</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ind w:left="500"/>
              <w:spacing w:after="0"/>
              <w:rPr>
                <w:sz w:val="20"/>
                <w:szCs w:val="20"/>
                <w:color w:val="auto"/>
              </w:rPr>
            </w:pPr>
            <w:r>
              <w:rPr>
                <w:rFonts w:ascii="Arial" w:cs="Arial" w:eastAsia="Arial" w:hAnsi="Arial"/>
                <w:sz w:val="11"/>
                <w:szCs w:val="11"/>
                <w:color w:val="auto"/>
                <w:w w:val="93"/>
              </w:rPr>
              <w:t>(790)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(1,604)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(1,684)</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Other comprehensive loss subsequent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489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5"/>
              </w:rPr>
              <w:t>Distributions subsequent to Reorganization and IPO</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rPr>
                <w:sz w:val="20"/>
                <w:szCs w:val="20"/>
                <w:color w:val="auto"/>
              </w:rPr>
            </w:pPr>
            <w:r>
              <w:rPr>
                <w:rFonts w:ascii="Arial" w:cs="Arial" w:eastAsia="Arial" w:hAnsi="Arial"/>
                <w:sz w:val="11"/>
                <w:szCs w:val="11"/>
                <w:color w:val="auto"/>
              </w:rPr>
              <w:t>Balance at September 30, 2020</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120,278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1"/>
                <w:szCs w:val="11"/>
                <w:color w:val="auto"/>
                <w:w w:val="93"/>
              </w:rPr>
              <w:t>(790)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20,729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284,105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424,395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-121920</wp:posOffset>
            </wp:positionV>
            <wp:extent cx="5503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20" w:type="dxa"/>
            <w:vAlign w:val="bottom"/>
          </w:tcPr>
          <w:p>
            <w:pPr>
              <w:spacing w:after="0"/>
              <w:rPr>
                <w:sz w:val="10"/>
                <w:szCs w:val="10"/>
                <w:color w:val="auto"/>
              </w:rPr>
            </w:pPr>
          </w:p>
        </w:tc>
        <w:tc>
          <w:tcPr>
            <w:tcW w:w="7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1"/>
              </w:rPr>
              <w:t>Equity / Partners'</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Pr>
          <w:p>
            <w:pPr>
              <w:spacing w:after="0"/>
              <w:rPr>
                <w:sz w:val="12"/>
                <w:szCs w:val="12"/>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Subsidiaries</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20" w:type="dxa"/>
            <w:vAlign w:val="bottom"/>
          </w:tcPr>
          <w:p>
            <w:pPr>
              <w:spacing w:after="0"/>
              <w:rPr>
                <w:sz w:val="12"/>
                <w:szCs w:val="12"/>
                <w:color w:val="auto"/>
              </w:rPr>
            </w:pPr>
          </w:p>
        </w:tc>
        <w:tc>
          <w:tcPr>
            <w:tcW w:w="78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216,051</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20,738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236,967</w:t>
            </w: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2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45,265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12,428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57,693</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Other comprehensive income prior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350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w w:val="96"/>
              </w:rPr>
              <w:t>Contributed capital prior to Reorganization and IPO</w:t>
            </w:r>
          </w:p>
        </w:tc>
        <w:tc>
          <w:tcPr>
            <w:tcW w:w="2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89"/>
              </w:rPr>
              <w:t>Equity-based compensation prior to Reorganization and</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w w:val="90"/>
              </w:rPr>
              <w:t>Sale of non-controlling interests prior to Reorganization</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Purchase of non-controlling interests prior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(63,585)</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controlling interests prior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w w:val="94"/>
              </w:rPr>
              <w:t>Effect of Reorganization and purchase of units in the</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(211,894)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ind w:left="500"/>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23,432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188,893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2"/>
              </w:rPr>
              <w:t>Issuance of Class A common stock sold in IPO, net of</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337,778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1"/>
                <w:szCs w:val="11"/>
                <w:color w:val="auto"/>
                <w:w w:val="88"/>
              </w:rPr>
              <w:t>Purchase of partnership interests with IPO net proceeds</w:t>
            </w:r>
          </w:p>
        </w:tc>
        <w:tc>
          <w:tcPr>
            <w:tcW w:w="2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60" w:type="dxa"/>
            <w:vAlign w:val="bottom"/>
          </w:tcPr>
          <w:p>
            <w:pPr>
              <w:ind w:left="520"/>
              <w:spacing w:after="0"/>
              <w:rPr>
                <w:sz w:val="20"/>
                <w:szCs w:val="20"/>
                <w:color w:val="auto"/>
              </w:rPr>
            </w:pPr>
            <w:r>
              <w:rPr>
                <w:rFonts w:ascii="Arial" w:cs="Arial" w:eastAsia="Arial" w:hAnsi="Arial"/>
                <w:sz w:val="11"/>
                <w:szCs w:val="11"/>
                <w:color w:val="auto"/>
                <w:w w:val="88"/>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(127,979)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Deferred IPO costs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(2,981)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(6,686)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(9,667)</w:t>
            </w: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40"/>
              <w:spacing w:after="0" w:line="108" w:lineRule="exact"/>
              <w:rPr>
                <w:sz w:val="20"/>
                <w:szCs w:val="20"/>
                <w:color w:val="auto"/>
              </w:rPr>
            </w:pPr>
            <w:r>
              <w:rPr>
                <w:rFonts w:ascii="Arial" w:cs="Arial" w:eastAsia="Arial" w:hAnsi="Arial"/>
                <w:sz w:val="11"/>
                <w:szCs w:val="11"/>
                <w:color w:val="auto"/>
                <w:w w:val="95"/>
              </w:rPr>
              <w:t>controlling interests subsequent to Reorganization</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(103,063)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103,063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2"/>
              </w:rPr>
              <w:t>Deferred tax effect resulting from purchase of Class B</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units, net of amounts payable under TRA</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w w:val="94"/>
              </w:rPr>
              <w:t>Net income (loss) subsequent to Reorganization and</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ind w:left="500"/>
              <w:spacing w:after="0"/>
              <w:rPr>
                <w:sz w:val="20"/>
                <w:szCs w:val="20"/>
                <w:color w:val="auto"/>
              </w:rPr>
            </w:pPr>
            <w:r>
              <w:rPr>
                <w:rFonts w:ascii="Arial" w:cs="Arial" w:eastAsia="Arial" w:hAnsi="Arial"/>
                <w:sz w:val="11"/>
                <w:szCs w:val="11"/>
                <w:color w:val="auto"/>
                <w:w w:val="93"/>
              </w:rPr>
              <w:t>(790)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(1,604)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(1,684)</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Other comprehensive loss subsequent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38"/>
        </w:trPr>
        <w:tc>
          <w:tcPr>
            <w:tcW w:w="2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80" w:type="dxa"/>
            <w:vAlign w:val="bottom"/>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489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36"/>
        </w:trPr>
        <w:tc>
          <w:tcPr>
            <w:tcW w:w="258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5"/>
              </w:rPr>
              <w:t>Distributions subsequent to Reorganization and IPO</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5"/>
        </w:trPr>
        <w:tc>
          <w:tcPr>
            <w:tcW w:w="2580" w:type="dxa"/>
            <w:vAlign w:val="bottom"/>
          </w:tcPr>
          <w:p>
            <w:pPr>
              <w:ind w:left="20"/>
              <w:spacing w:after="0"/>
              <w:rPr>
                <w:sz w:val="20"/>
                <w:szCs w:val="20"/>
                <w:color w:val="auto"/>
              </w:rPr>
            </w:pPr>
            <w:r>
              <w:rPr>
                <w:rFonts w:ascii="Arial" w:cs="Arial" w:eastAsia="Arial" w:hAnsi="Arial"/>
                <w:sz w:val="11"/>
                <w:szCs w:val="11"/>
                <w:color w:val="auto"/>
              </w:rPr>
              <w:t>Balance at September 30, 2020</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120,278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1"/>
                <w:szCs w:val="11"/>
                <w:color w:val="auto"/>
                <w:w w:val="93"/>
              </w:rPr>
              <w:t>(790)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20,729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284,105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424,395</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Class A Common</w:t>
            </w:r>
          </w:p>
        </w:tc>
        <w:tc>
          <w:tcPr>
            <w:tcW w:w="10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Class B Common</w:t>
            </w: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3"/>
              </w:rPr>
              <w:t>Additional Paid-</w:t>
            </w: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1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8"/>
              </w:rPr>
              <w:t>Accumulated Other</w:t>
            </w:r>
          </w:p>
        </w:tc>
        <w:tc>
          <w:tcPr>
            <w:tcW w:w="100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0"/>
              </w:rPr>
              <w:t>Non-Controlling</w:t>
            </w:r>
          </w:p>
        </w:tc>
        <w:tc>
          <w:tcPr>
            <w:tcW w:w="102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5"/>
              </w:rPr>
              <w:t>Non-Controlling</w:t>
            </w:r>
          </w:p>
        </w:tc>
        <w:tc>
          <w:tcPr>
            <w:tcW w:w="80" w:type="dxa"/>
            <w:vAlign w:val="bottom"/>
          </w:tcPr>
          <w:p>
            <w:pPr>
              <w:spacing w:after="0"/>
              <w:rPr>
                <w:sz w:val="10"/>
                <w:szCs w:val="10"/>
                <w:color w:val="auto"/>
              </w:rPr>
            </w:pPr>
          </w:p>
        </w:tc>
        <w:tc>
          <w:tcPr>
            <w:tcW w:w="7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8"/>
              </w:rPr>
              <w:t>Total Partners’</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1000" w:type="dxa"/>
            <w:vAlign w:val="bottom"/>
            <w:gridSpan w:val="3"/>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84"/>
              </w:rPr>
              <w:t>Comprehensive</w:t>
            </w:r>
          </w:p>
        </w:tc>
        <w:tc>
          <w:tcPr>
            <w:tcW w:w="10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80" w:type="dxa"/>
            <w:vAlign w:val="bottom"/>
          </w:tcPr>
          <w:p>
            <w:pPr>
              <w:spacing w:after="0"/>
              <w:rPr>
                <w:sz w:val="9"/>
                <w:szCs w:val="9"/>
                <w:color w:val="auto"/>
              </w:rPr>
            </w:pPr>
          </w:p>
        </w:tc>
        <w:tc>
          <w:tcPr>
            <w:tcW w:w="9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in Capital</w:t>
            </w:r>
          </w:p>
        </w:tc>
        <w:tc>
          <w:tcPr>
            <w:tcW w:w="100" w:type="dxa"/>
            <w:vAlign w:val="bottom"/>
          </w:tcPr>
          <w:p>
            <w:pPr>
              <w:spacing w:after="0"/>
              <w:rPr>
                <w:sz w:val="12"/>
                <w:szCs w:val="12"/>
                <w:color w:val="auto"/>
              </w:rPr>
            </w:pPr>
          </w:p>
        </w:tc>
        <w:tc>
          <w:tcPr>
            <w:tcW w:w="900" w:type="dxa"/>
            <w:vAlign w:val="bottom"/>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Subsidiaries</w:t>
            </w: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Partnership</w:t>
            </w:r>
          </w:p>
        </w:tc>
        <w:tc>
          <w:tcPr>
            <w:tcW w:w="80" w:type="dxa"/>
            <w:vAlign w:val="bottom"/>
          </w:tcPr>
          <w:p>
            <w:pPr>
              <w:spacing w:after="0"/>
              <w:rPr>
                <w:sz w:val="12"/>
                <w:szCs w:val="12"/>
                <w:color w:val="auto"/>
              </w:rPr>
            </w:pPr>
          </w:p>
        </w:tc>
        <w:tc>
          <w:tcPr>
            <w:tcW w:w="780" w:type="dxa"/>
            <w:vAlign w:val="bottom"/>
          </w:tcPr>
          <w:p>
            <w:pPr>
              <w:jc w:val="right"/>
              <w:ind w:right="206"/>
              <w:spacing w:after="0"/>
              <w:rPr>
                <w:sz w:val="20"/>
                <w:szCs w:val="20"/>
                <w:color w:val="auto"/>
              </w:rPr>
            </w:pPr>
            <w:r>
              <w:rPr>
                <w:rFonts w:ascii="Arial" w:cs="Arial" w:eastAsia="Arial" w:hAnsi="Arial"/>
                <w:sz w:val="11"/>
                <w:szCs w:val="11"/>
                <w:b w:val="1"/>
                <w:bCs w:val="1"/>
                <w:color w:val="auto"/>
              </w:rPr>
              <w:t>Capital</w:t>
            </w:r>
          </w:p>
        </w:tc>
        <w:tc>
          <w:tcPr>
            <w:tcW w:w="0" w:type="dxa"/>
            <w:vAlign w:val="bottom"/>
          </w:tcPr>
          <w:p>
            <w:pPr>
              <w:spacing w:after="0"/>
              <w:rPr>
                <w:sz w:val="1"/>
                <w:szCs w:val="1"/>
                <w:color w:val="auto"/>
              </w:rPr>
            </w:pPr>
          </w:p>
        </w:tc>
      </w:tr>
      <w:tr>
        <w:trPr>
          <w:trHeight w:val="22"/>
        </w:trPr>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2019</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149,665</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377</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17,544</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167,586</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44,365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46,360</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475</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Sale of partnership interests</w:t>
            </w:r>
          </w:p>
        </w:tc>
        <w:tc>
          <w:tcPr>
            <w:tcW w:w="2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110,753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110,753</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partnership interests</w:t>
            </w:r>
          </w:p>
        </w:tc>
        <w:tc>
          <w:tcPr>
            <w:tcW w:w="2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(12,628)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(15,058)</w:t>
            </w:r>
          </w:p>
        </w:tc>
        <w:tc>
          <w:tcPr>
            <w:tcW w:w="0" w:type="dxa"/>
            <w:vAlign w:val="bottom"/>
          </w:tcPr>
          <w:p>
            <w:pPr>
              <w:spacing w:after="0"/>
              <w:rPr>
                <w:sz w:val="1"/>
                <w:szCs w:val="1"/>
                <w:color w:val="auto"/>
              </w:rPr>
            </w:pPr>
          </w:p>
        </w:tc>
      </w:tr>
      <w:tr>
        <w:trPr>
          <w:trHeight w:val="22"/>
        </w:trPr>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September 30, 2019</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179,580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196,824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2019</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128,426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16,953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145,662</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72,883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4,486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77,369</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Sale of partnership interests</w:t>
            </w:r>
          </w:p>
        </w:tc>
        <w:tc>
          <w:tcPr>
            <w:tcW w:w="2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110,753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110,753</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partnership interests</w:t>
            </w:r>
          </w:p>
        </w:tc>
        <w:tc>
          <w:tcPr>
            <w:tcW w:w="2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0" w:type="dxa"/>
            <w:vAlign w:val="bottom"/>
          </w:tcPr>
          <w:p>
            <w:pPr>
              <w:spacing w:after="0"/>
              <w:rPr>
                <w:sz w:val="1"/>
                <w:szCs w:val="1"/>
                <w:color w:val="auto"/>
              </w:rPr>
            </w:pPr>
          </w:p>
        </w:tc>
      </w:tr>
      <w:tr>
        <w:trPr>
          <w:trHeight w:val="140"/>
        </w:trPr>
        <w:tc>
          <w:tcPr>
            <w:tcW w:w="22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(20,387)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(4,428)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(24,815)</w:t>
            </w:r>
          </w:p>
        </w:tc>
        <w:tc>
          <w:tcPr>
            <w:tcW w:w="0" w:type="dxa"/>
            <w:vAlign w:val="bottom"/>
          </w:tcPr>
          <w:p>
            <w:pPr>
              <w:spacing w:after="0"/>
              <w:rPr>
                <w:sz w:val="1"/>
                <w:szCs w:val="1"/>
                <w:color w:val="auto"/>
              </w:rPr>
            </w:pPr>
          </w:p>
        </w:tc>
      </w:tr>
      <w:tr>
        <w:trPr>
          <w:trHeight w:val="22"/>
        </w:trPr>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September 30, 2019</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179,580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196,824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8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56,009</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77,369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 and investment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Unrealized gains on marketable securities</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 amortization of deferred financing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Fees and accounts receivable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Due from affiliates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receivables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54,786</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affiliates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46,651</w:t>
            </w:r>
          </w:p>
        </w:tc>
      </w:tr>
      <w:tr>
        <w:trPr>
          <w:trHeight w:val="250"/>
        </w:trPr>
        <w:tc>
          <w:tcPr>
            <w:tcW w:w="8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and maturities of marketable securities</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22,914</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3,625</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83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23"/>
        </w:trPr>
        <w:tc>
          <w:tcPr>
            <w:tcW w:w="8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Sale of non-controlling interests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110,753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IPO, net of underwriting discount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337,798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term loan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(24,815)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acquisition earn-outs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8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(22,764)</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21,016</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40,622</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159,827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non-controlling partnership interests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Deferred tax effect resulting from purchase of Class B units, net of amounts payable under TRA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deferred offering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61,638</w:t>
            </w:r>
          </w:p>
        </w:tc>
      </w:tr>
      <w:tr>
        <w:trPr>
          <w:trHeight w:val="230"/>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159,827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60" w:firstLine="648"/>
        <w:spacing w:after="0" w:line="316" w:lineRule="auto"/>
        <w:rPr>
          <w:sz w:val="20"/>
          <w:szCs w:val="20"/>
          <w:color w:val="auto"/>
        </w:rPr>
      </w:pPr>
      <w:r>
        <w:rPr>
          <w:rFonts w:ascii="Arial" w:cs="Arial" w:eastAsia="Arial" w:hAnsi="Arial"/>
          <w:sz w:val="16"/>
          <w:szCs w:val="16"/>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As of September 18, 2020, in connection with the Reorganization discussed below, SSG became the sole managing member of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condensed consolidated financial statements.</w:t>
      </w:r>
    </w:p>
    <w:p>
      <w:pPr>
        <w:spacing w:after="0" w:line="140" w:lineRule="exact"/>
        <w:rPr>
          <w:sz w:val="20"/>
          <w:szCs w:val="20"/>
          <w:color w:val="auto"/>
        </w:rPr>
      </w:pPr>
    </w:p>
    <w:p>
      <w:pPr>
        <w:ind w:right="60" w:firstLine="648"/>
        <w:spacing w:after="0" w:line="242" w:lineRule="auto"/>
        <w:rPr>
          <w:sz w:val="20"/>
          <w:szCs w:val="20"/>
          <w:color w:val="auto"/>
        </w:rPr>
      </w:pPr>
      <w:r>
        <w:rPr>
          <w:rFonts w:ascii="Arial" w:cs="Arial" w:eastAsia="Arial" w:hAnsi="Arial"/>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97" w:lineRule="exact"/>
        <w:rPr>
          <w:sz w:val="20"/>
          <w:szCs w:val="20"/>
          <w:color w:val="auto"/>
        </w:rPr>
      </w:pPr>
    </w:p>
    <w:p>
      <w:pPr>
        <w:ind w:right="700" w:firstLine="648"/>
        <w:spacing w:after="0" w:line="287" w:lineRule="auto"/>
        <w:rPr>
          <w:sz w:val="20"/>
          <w:szCs w:val="20"/>
          <w:color w:val="auto"/>
        </w:rPr>
      </w:pPr>
      <w:r>
        <w:rPr>
          <w:rFonts w:ascii="Arial" w:cs="Arial" w:eastAsia="Arial" w:hAnsi="Arial"/>
          <w:sz w:val="19"/>
          <w:szCs w:val="19"/>
          <w:color w:val="auto"/>
        </w:rPr>
        <w:t>The Company, through its subsidiaries, acts as the investment advisor and general partner or managing member to separately managed accounts (“SMAs”) and focused commingled funds (collectively, the “StepStone Funds”).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connection with the IPO, the Company completed certain transactions as part of a corporate reorganization (the “Reorganization”), which are described below:</w:t>
      </w:r>
    </w:p>
    <w:p>
      <w:pPr>
        <w:spacing w:after="0" w:line="177" w:lineRule="exact"/>
        <w:rPr>
          <w:sz w:val="20"/>
          <w:szCs w:val="20"/>
          <w:color w:val="auto"/>
        </w:rPr>
      </w:pPr>
    </w:p>
    <w:p>
      <w:pPr>
        <w:ind w:left="980" w:right="60" w:hanging="324"/>
        <w:spacing w:after="0" w:line="247" w:lineRule="auto"/>
        <w:tabs>
          <w:tab w:leader="none" w:pos="968" w:val="left"/>
        </w:tabs>
        <w:numPr>
          <w:ilvl w:val="0"/>
          <w:numId w:val="6"/>
        </w:numPr>
        <w:rPr>
          <w:rFonts w:ascii="Arial" w:cs="Arial" w:eastAsia="Arial" w:hAnsi="Arial"/>
          <w:sz w:val="20"/>
          <w:szCs w:val="20"/>
          <w:color w:val="auto"/>
        </w:rPr>
      </w:pPr>
      <w:r>
        <w:rPr>
          <w:rFonts w:ascii="Arial" w:cs="Arial" w:eastAsia="Arial" w:hAnsi="Arial"/>
          <w:sz w:val="20"/>
          <w:szCs w:val="20"/>
          <w:color w:val="auto"/>
        </w:rPr>
        <w:t>SSG amended and restated its certificate of incorporation to, among other things, provide for Class A common stock and Class B common stock.</w:t>
      </w:r>
    </w:p>
    <w:p>
      <w:pPr>
        <w:spacing w:after="0" w:line="1" w:lineRule="exact"/>
        <w:rPr>
          <w:rFonts w:ascii="Arial" w:cs="Arial" w:eastAsia="Arial" w:hAnsi="Arial"/>
          <w:sz w:val="20"/>
          <w:szCs w:val="20"/>
          <w:color w:val="auto"/>
        </w:rPr>
      </w:pPr>
    </w:p>
    <w:p>
      <w:pPr>
        <w:ind w:left="960" w:hanging="30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Partnership amended its limited partnership agreement to, among other things, provide for Class A units and Class B units.</w:t>
      </w:r>
    </w:p>
    <w:p>
      <w:pPr>
        <w:spacing w:after="0" w:line="22" w:lineRule="exact"/>
        <w:rPr>
          <w:rFonts w:ascii="Arial" w:cs="Arial" w:eastAsia="Arial" w:hAnsi="Arial"/>
          <w:sz w:val="18"/>
          <w:szCs w:val="18"/>
          <w:color w:val="auto"/>
        </w:rPr>
      </w:pPr>
    </w:p>
    <w:p>
      <w:pPr>
        <w:ind w:left="980" w:right="60" w:hanging="324"/>
        <w:spacing w:after="0" w:line="239" w:lineRule="auto"/>
        <w:tabs>
          <w:tab w:leader="none" w:pos="968" w:val="left"/>
        </w:tabs>
        <w:numPr>
          <w:ilvl w:val="0"/>
          <w:numId w:val="6"/>
        </w:numPr>
        <w:rPr>
          <w:rFonts w:ascii="Arial" w:cs="Arial" w:eastAsia="Arial" w:hAnsi="Arial"/>
          <w:sz w:val="20"/>
          <w:szCs w:val="20"/>
          <w:color w:val="auto"/>
        </w:rPr>
      </w:pPr>
      <w:r>
        <w:rPr>
          <w:rFonts w:ascii="Arial" w:cs="Arial" w:eastAsia="Arial" w:hAnsi="Arial"/>
          <w:sz w:val="20"/>
          <w:szCs w:val="20"/>
          <w:color w:val="auto"/>
        </w:rPr>
        <w:t>StepStone Group Holdings LLC (the “General Partner”) amended and restated its limited liability company agreement to, among other things, appoint SSG as the sole managing member of the General Partner.</w:t>
      </w:r>
    </w:p>
    <w:p>
      <w:pPr>
        <w:ind w:left="960" w:hanging="304"/>
        <w:spacing w:after="0"/>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SSG redeemed its 100 shares of common stock outstanding.</w:t>
      </w:r>
    </w:p>
    <w:p>
      <w:pPr>
        <w:ind w:left="980" w:hanging="324"/>
        <w:spacing w:after="0" w:line="266" w:lineRule="auto"/>
        <w:tabs>
          <w:tab w:leader="none" w:pos="9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ind w:left="980" w:right="260" w:hanging="324"/>
        <w:spacing w:after="0" w:line="239" w:lineRule="auto"/>
        <w:tabs>
          <w:tab w:leader="none" w:pos="96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Partnership classified the partnership units acquired by SSG as Class A units and reclassified the partnership units held by the continuing limited partners of the Partnership as Class B units.</w:t>
      </w:r>
    </w:p>
    <w:p>
      <w:pPr>
        <w:ind w:left="980" w:right="300" w:hanging="324"/>
        <w:spacing w:after="0" w:line="239" w:lineRule="auto"/>
        <w:tabs>
          <w:tab w:leader="none" w:pos="968" w:val="left"/>
        </w:tabs>
        <w:numPr>
          <w:ilvl w:val="0"/>
          <w:numId w:val="6"/>
        </w:numPr>
        <w:rPr>
          <w:rFonts w:ascii="Arial" w:cs="Arial" w:eastAsia="Arial" w:hAnsi="Arial"/>
          <w:sz w:val="20"/>
          <w:szCs w:val="20"/>
          <w:color w:val="auto"/>
        </w:rPr>
      </w:pPr>
      <w:r>
        <w:rPr>
          <w:rFonts w:ascii="Arial" w:cs="Arial" w:eastAsia="Arial" w:hAnsi="Arial"/>
          <w:sz w:val="20"/>
          <w:szCs w:val="20"/>
          <w:color w:val="auto"/>
        </w:rPr>
        <w:t>SSG issued to the remaining Class B unitholders one share of Class B common stock for each Class B unit that they owned in exchange for their interests in the General Partner.</w:t>
      </w:r>
    </w:p>
    <w:p>
      <w:pPr>
        <w:ind w:left="980" w:right="40" w:hanging="324"/>
        <w:spacing w:after="0" w:line="260" w:lineRule="auto"/>
        <w:tabs>
          <w:tab w:leader="none" w:pos="968" w:val="left"/>
        </w:tabs>
        <w:numPr>
          <w:ilvl w:val="0"/>
          <w:numId w:val="6"/>
        </w:numPr>
        <w:rPr>
          <w:rFonts w:ascii="Arial" w:cs="Arial" w:eastAsia="Arial" w:hAnsi="Arial"/>
          <w:sz w:val="19"/>
          <w:szCs w:val="19"/>
          <w:color w:val="auto"/>
        </w:rPr>
      </w:pPr>
      <w:r>
        <w:rPr>
          <w:rFonts w:ascii="Arial" w:cs="Arial" w:eastAsia="Arial" w:hAnsi="Arial"/>
          <w:sz w:val="19"/>
          <w:szCs w:val="19"/>
          <w:color w:val="auto"/>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of certain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Initial Public Offering</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80" w:lineRule="exact"/>
        <w:rPr>
          <w:sz w:val="20"/>
          <w:szCs w:val="20"/>
          <w:color w:val="auto"/>
        </w:rPr>
      </w:pPr>
    </w:p>
    <w:p>
      <w:pPr>
        <w:ind w:firstLine="648"/>
        <w:spacing w:after="0" w:line="309" w:lineRule="auto"/>
        <w:rPr>
          <w:sz w:val="20"/>
          <w:szCs w:val="20"/>
          <w:color w:val="auto"/>
        </w:rPr>
      </w:pPr>
      <w:r>
        <w:rPr>
          <w:rFonts w:ascii="Arial" w:cs="Arial" w:eastAsia="Arial" w:hAnsi="Arial"/>
          <w:sz w:val="16"/>
          <w:szCs w:val="16"/>
          <w:color w:val="auto"/>
        </w:rPr>
        <w:t>Following the Reorganization and IPO, SSG is a holding company whose principal asset is a controlling financial interest in the Partnership through its ownership of all of the Partnership’s Class A units and a 100% membership interest in the General Partner of the Partnership. While this interest represents a minority of economic interests in the Partnership, SSG acts as the sole managing member of the General Partner of the Partnership and, as a result, will indirectly operate and control all of the Partnership’s business and affairs. As a result, SSG will consolidate the financial results of the Partnership and report non-controlling interests related to the Class B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September 30, 2020, SSG held approximately 30.8% of the economic interest in the Partnership. As the Partnership’s limited partners exchange their Class B units into SSG’s Class A common stock in the future, SSG’s economic interest in the Partnership will increase.</w:t>
      </w:r>
    </w:p>
    <w:p>
      <w:pPr>
        <w:spacing w:after="0" w:line="379"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The Reorganization is considered a transaction between entities under common control. As a result, the condensed consolidated financial statements for periods prior to the Reorganization and IPO are the condensed consolidated financial statements of the Partnership as the predecessor to SSG for accounting and reporting purposes.</w:t>
      </w:r>
    </w:p>
    <w:p>
      <w:pPr>
        <w:spacing w:after="0" w:line="180" w:lineRule="exact"/>
        <w:rPr>
          <w:sz w:val="20"/>
          <w:szCs w:val="20"/>
          <w:color w:val="auto"/>
        </w:rPr>
      </w:pPr>
    </w:p>
    <w:p>
      <w:pPr>
        <w:ind w:left="660" w:right="7160" w:hanging="652"/>
        <w:spacing w:after="0" w:line="468" w:lineRule="auto"/>
        <w:tabs>
          <w:tab w:leader="none" w:pos="358"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right="40" w:firstLine="648"/>
        <w:spacing w:after="0" w:line="255" w:lineRule="auto"/>
        <w:rPr>
          <w:sz w:val="20"/>
          <w:szCs w:val="20"/>
          <w:color w:val="auto"/>
        </w:rPr>
      </w:pPr>
      <w:r>
        <w:rPr>
          <w:rFonts w:ascii="Arial" w:cs="Arial" w:eastAsia="Arial" w:hAnsi="Arial"/>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audited consolidated financial statements of the Company for the year ended March 31, 2020 included in the Company’s prospectus dated September 15, 2020, filed with the U.S. Securities and Exchange Commission (“SEC”) on September 16, 2020.</w:t>
      </w:r>
    </w:p>
    <w:p>
      <w:pPr>
        <w:spacing w:after="0" w:line="187"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195" w:lineRule="exact"/>
        <w:rPr>
          <w:sz w:val="20"/>
          <w:szCs w:val="20"/>
          <w:color w:val="auto"/>
        </w:rPr>
      </w:pPr>
    </w:p>
    <w:p>
      <w:pPr>
        <w:ind w:firstLine="648"/>
        <w:spacing w:after="0" w:line="227" w:lineRule="auto"/>
        <w:rPr>
          <w:sz w:val="20"/>
          <w:szCs w:val="20"/>
          <w:color w:val="auto"/>
        </w:rPr>
      </w:pPr>
      <w:r>
        <w:rPr>
          <w:rFonts w:ascii="Arial" w:cs="Arial" w:eastAsia="Arial" w:hAnsi="Arial"/>
          <w:sz w:val="20"/>
          <w:szCs w:val="20"/>
          <w:color w:val="auto"/>
        </w:rPr>
        <w:t>Certain prior year amounts have been reclassified to conform to the current period presentation. Amounts relating to deferred tax assets that were previously reported within other assets and receivables have been presented separately in the condensed consolidated balance sheets as of March 31,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68"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remove the general partner or substantive rights to participate. Certain StepStone Funds are VIEs because they have not granted unaffiliated limited partners or members substantive rights to terminate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units of the Partnership which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owned by SSG. Non-controlling interests in the Partnership are allocated a share of income or loss in the Partnership in proportion to their relative ownership interests, after consideration of contractual arrangements that govern allocations of income or loss. Prior to the Reorganization and IPO, all of the Company’s net income relates to the Partnership and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September 30, 2020, the Company used the June 30, 2020 unaudited financial statements of the StepStone Funds, which reflect the underlying private market funds as of June 30, 2020 to record its investments (including any carried interest allocated by those investments), as adjusted for capital contributions and distributions during the three-month lag period ended September 30,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In March 2020, the World Health Organization declared the outbreak of the novel coronavirus (“COVID-19”) a global pandemic. The outbreak has significantly affected the global economy and financial markets. Given the ongoing nature of the outbreak, it is currently not possible to predict the potential scale and scope of the outbreak and its ultimate effects on the financial markets, overall economy and the Company’s condensed consolidated financial statements. During the six months ended September 30, 2020, the Company's investments in StepStone Funds and accrued carried interest allocations initially experienced significant declines in the first three months, primarily reflecting the unrealized depreciation in the fair value of certain underlying fund investments driven by the impact of COVID-19, and in the next three months saw significant increases, primarily reflecting the unrealized appreciation in the fair value of certain underlying fund investments driven by the general recovery in the financial markets.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65" w:lineRule="exact"/>
        <w:rPr>
          <w:sz w:val="20"/>
          <w:szCs w:val="20"/>
          <w:color w:val="auto"/>
        </w:rPr>
      </w:pPr>
    </w:p>
    <w:p>
      <w:pPr>
        <w:ind w:right="20" w:firstLine="648"/>
        <w:spacing w:after="0" w:line="328" w:lineRule="auto"/>
        <w:rPr>
          <w:sz w:val="20"/>
          <w:szCs w:val="20"/>
          <w:color w:val="auto"/>
        </w:rPr>
      </w:pPr>
      <w:r>
        <w:rPr>
          <w:rFonts w:ascii="Arial" w:cs="Arial" w:eastAsia="Arial" w:hAnsi="Arial"/>
          <w:sz w:val="16"/>
          <w:szCs w:val="16"/>
          <w:color w:val="auto"/>
        </w:rPr>
        <w:t>The Company considers its cash, cash equivalents, restricted cash, fees and accounts receivable, accounts payable, investments, term loan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balances.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The Company evaluates its equity method investments for impairment whenever events or changes in circumstances indicate that the carrying amounts of such investments may not be recoverable.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220" w:firstLine="648"/>
        <w:spacing w:after="0" w:line="244" w:lineRule="auto"/>
        <w:rPr>
          <w:sz w:val="20"/>
          <w:szCs w:val="20"/>
          <w:color w:val="auto"/>
        </w:rPr>
      </w:pPr>
      <w:r>
        <w:rPr>
          <w:rFonts w:ascii="Arial" w:cs="Arial" w:eastAsia="Arial" w:hAnsi="Arial"/>
          <w:sz w:val="20"/>
          <w:szCs w:val="20"/>
          <w:color w:val="auto"/>
        </w:rPr>
        <w:t>The Company earns management fees for services provided to its SMAs, focused commingled funds and distribution management clients.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94"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StepStone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StepStone serves as the general partner or managing member. StepStone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primarily employee travel costs, organization costs and syndication costs – for which it receives reimbursements from its customers. For reimbursable travel costs, organization costs and syndication costs,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3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jc w:val="both"/>
        <w:ind w:right="140" w:firstLine="648"/>
        <w:spacing w:after="0" w:line="306" w:lineRule="auto"/>
        <w:rPr>
          <w:sz w:val="20"/>
          <w:szCs w:val="20"/>
          <w:color w:val="auto"/>
        </w:rPr>
      </w:pPr>
      <w:r>
        <w:rPr>
          <w:rFonts w:ascii="Arial" w:cs="Arial" w:eastAsia="Arial" w:hAnsi="Arial"/>
          <w:sz w:val="16"/>
          <w:szCs w:val="16"/>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w:t>
      </w:r>
    </w:p>
    <w:p>
      <w:pPr>
        <w:spacing w:after="0" w:line="1"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94" w:lineRule="exact"/>
        <w:rPr>
          <w:sz w:val="20"/>
          <w:szCs w:val="20"/>
          <w:color w:val="auto"/>
        </w:rPr>
      </w:pPr>
    </w:p>
    <w:p>
      <w:pPr>
        <w:ind w:right="60"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97" w:lineRule="exact"/>
        <w:rPr>
          <w:sz w:val="20"/>
          <w:szCs w:val="20"/>
          <w:color w:val="auto"/>
        </w:rPr>
      </w:pPr>
    </w:p>
    <w:p>
      <w:pPr>
        <w:ind w:right="80" w:firstLine="648"/>
        <w:spacing w:after="0" w:line="316" w:lineRule="auto"/>
        <w:rPr>
          <w:sz w:val="20"/>
          <w:szCs w:val="20"/>
          <w:color w:val="auto"/>
        </w:rPr>
      </w:pPr>
      <w:r>
        <w:rPr>
          <w:rFonts w:ascii="Arial" w:cs="Arial" w:eastAsia="Arial" w:hAnsi="Arial"/>
          <w:sz w:val="16"/>
          <w:szCs w:val="16"/>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2020 and March 31, 2020, no amounts for potential clawback obligations had been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accounts for grants of equity-based awards, including restricted stock units (“RSUs”),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in the condensed consolidated statements of income. The fair value of RSUs is determined by the closing stock price on the grant date. Forfeitures of equity-based awards are recognized as they occur. See note 9 for additional information regarding the Company’s accounting for equity-based awards.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local or non-U.S. income taxes. Additionally, certain subsidiaries are subject to local jurisdiction taxes at the entity level, with the related tax provision reflected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60" w:firstLine="648"/>
        <w:spacing w:after="0" w:line="260" w:lineRule="auto"/>
        <w:rPr>
          <w:sz w:val="20"/>
          <w:szCs w:val="20"/>
          <w:color w:val="auto"/>
        </w:rPr>
      </w:pPr>
      <w:r>
        <w:rPr>
          <w:rFonts w:ascii="Arial" w:cs="Arial" w:eastAsia="Arial" w:hAnsi="Arial"/>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The principal items giving rise to temporary differences are certain basis differences resulting from exchanges of Partnership units.</w:t>
      </w:r>
    </w:p>
    <w:p>
      <w:pPr>
        <w:spacing w:after="0" w:line="180"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The Company is subject to the provisions of ASC Subtopic 740-10, Accounting for Uncertainty in Income Taxes.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general, administrative and other expenses in the condensed consolidated statements of income. See note 10 for more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SSG has entered into an Exchanges Tax Receivable Agreement with the continuing partners of the Partnership and a Reorganization Tax Receivable Agreement with certain pre-IPO institutional investors (collectively, the “Tax Receivable Agreements”). The Tax Receivable Agreements provide for payment by SSG to such continuing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continuing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Company's accumulated other comprehensive income (loss) consists of foreign currency translation adjustments and unrealized gains and losses on the defined benefit plan sponsored by one of its subsidiaries. The components of accumulated other comprehensive income (loss)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3"/>
              </w:rPr>
              <w:t>(22)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6"/>
              </w:rPr>
              <w:t>502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Unrealized loss on defined benefit plan, net</w:t>
            </w:r>
          </w:p>
        </w:tc>
        <w:tc>
          <w:tcPr>
            <w:tcW w:w="600" w:type="dxa"/>
            <w:vAlign w:val="bottom"/>
          </w:tcPr>
          <w:p>
            <w:pPr>
              <w:spacing w:after="0"/>
              <w:rPr>
                <w:sz w:val="19"/>
                <w:szCs w:val="19"/>
                <w:color w:val="auto"/>
              </w:rPr>
            </w:pPr>
          </w:p>
        </w:tc>
        <w:tc>
          <w:tcPr>
            <w:tcW w:w="1060" w:type="dxa"/>
            <w:vAlign w:val="bottom"/>
            <w:gridSpan w:val="2"/>
          </w:tcPr>
          <w:p>
            <w:pPr>
              <w:jc w:val="center"/>
              <w:ind w:left="19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80" w:type="dxa"/>
            <w:vAlign w:val="bottom"/>
          </w:tcPr>
          <w:p>
            <w:pPr>
              <w:jc w:val="center"/>
              <w:ind w:left="752"/>
              <w:spacing w:after="0"/>
              <w:rPr>
                <w:sz w:val="20"/>
                <w:szCs w:val="20"/>
                <w:color w:val="auto"/>
              </w:rPr>
            </w:pPr>
            <w:r>
              <w:rPr>
                <w:rFonts w:ascii="Arial" w:cs="Arial" w:eastAsia="Arial" w:hAnsi="Arial"/>
                <w:sz w:val="18"/>
                <w:szCs w:val="18"/>
                <w:color w:val="auto"/>
                <w:w w:val="95"/>
              </w:rPr>
              <w:t>(324)</w:t>
            </w:r>
          </w:p>
        </w:tc>
      </w:tr>
      <w:tr>
        <w:trPr>
          <w:trHeight w:val="248"/>
        </w:trPr>
        <w:tc>
          <w:tcPr>
            <w:tcW w:w="8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3"/>
              </w:rPr>
              <w:t>(22)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6"/>
              </w:rPr>
              <w:t>178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The Company operates as one business, a fully-integrated private markets solution provider. The Company’s chief operating decision maker, which consists of the Company’s co-chief executive officers together,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 xml:space="preserve">In February 2016, the Financial Accounting Standards Board (“FASB”) issued Accounting Standards Update (“ASU”) 2016-02, </w:t>
      </w:r>
      <w:r>
        <w:rPr>
          <w:rFonts w:ascii="Arial" w:cs="Arial" w:eastAsia="Arial" w:hAnsi="Arial"/>
          <w:sz w:val="19"/>
          <w:szCs w:val="19"/>
          <w:i w:val="1"/>
          <w:iCs w:val="1"/>
          <w:color w:val="auto"/>
        </w:rPr>
        <w:t xml:space="preserve">Leases </w:t>
      </w:r>
      <w:r>
        <w:rPr>
          <w:rFonts w:ascii="Arial" w:cs="Arial" w:eastAsia="Arial" w:hAnsi="Arial"/>
          <w:sz w:val="19"/>
          <w:szCs w:val="19"/>
          <w:color w:val="auto"/>
        </w:rPr>
        <w:t>(Topic 842). ASU 2016-02 requires an entity to recognize right-of-use assets and lease liabilities on its balance sheet for all leases and</w:t>
      </w:r>
      <w:r>
        <w:rPr>
          <w:rFonts w:ascii="Arial" w:cs="Arial" w:eastAsia="Arial" w:hAnsi="Arial"/>
          <w:sz w:val="19"/>
          <w:szCs w:val="19"/>
          <w:i w:val="1"/>
          <w:iCs w:val="1"/>
          <w:color w:val="auto"/>
        </w:rPr>
        <w:t xml:space="preserve"> </w:t>
      </w:r>
      <w:r>
        <w:rPr>
          <w:rFonts w:ascii="Arial" w:cs="Arial" w:eastAsia="Arial" w:hAnsi="Arial"/>
          <w:sz w:val="19"/>
          <w:szCs w:val="19"/>
          <w:color w:val="auto"/>
        </w:rPr>
        <w:t>to disclose certain information about leasing arrangements. Lessees and lessors are required to disclose qualitative and quantitative information about leasing arrangements to enable a user of the financial statements to assess the amount, timing and uncertainty of cash flows arising from leases. For public business entities, ASU 2016-02 was effective for annual reporting periods beginning after December 15, 2018. On June 3, 2020, the FASB extended the adoption date for all other entities, including emerging growth companies (“EGCs”), as defined by the SEC, that have elected to defer adoption until the standard is effective for non-public business entities, to annual periods beginning after December 15, 2021, and interim periods within annual periods beginning after December 15, 2022, with early adoption permitted. The Company currently qualifies as an EGC and has elected to take advantage of the extended transition period afforded to EGCs as it applies to the adoption of new accounting standards. The adoption of this guidance is expected to materially impact the Company’s condensed consolidated balance sheets due to the requirement to record right-of-use assets and liabilities related to leases that are currently reported as operating leases. However, the Company does not expect the adoption to materially impact its condensed consolidated statements of income because substantially all of its leases are classified as operating leases, which will continue to be recognized as expense on a straight-line basis under the new guidance. See note 14 for more information related to the Company’s minimum lease payments as of September 30, 2020.</w:t>
      </w:r>
    </w:p>
    <w:p>
      <w:pPr>
        <w:spacing w:after="0" w:line="19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 xml:space="preserve">In June 2016, the FASB issued ASU 2016-13, </w:t>
      </w:r>
      <w:r>
        <w:rPr>
          <w:rFonts w:ascii="Arial" w:cs="Arial" w:eastAsia="Arial" w:hAnsi="Arial"/>
          <w:sz w:val="19"/>
          <w:szCs w:val="19"/>
          <w:i w:val="1"/>
          <w:iCs w:val="1"/>
          <w:color w:val="auto"/>
        </w:rPr>
        <w:t>Financial Instruments—Credit Losses</w:t>
      </w:r>
      <w:r>
        <w:rPr>
          <w:rFonts w:ascii="Arial" w:cs="Arial" w:eastAsia="Arial" w:hAnsi="Arial"/>
          <w:sz w:val="19"/>
          <w:szCs w:val="19"/>
          <w:color w:val="auto"/>
        </w:rPr>
        <w:t>, which changes the accounting for recognizing impairments of financial assets. Under this guidance, credit losses for certain types of financial instruments will be estimated based on expected losses. The guidance also modifies the impairment models for available-for-sale debt securities and purchased financial assets with credit deterioration since their origination. This guidance is effective for annual and interim periods beginning after December 15, 2019 for SEC filers, December 15, 2020 for public business entities that are not SEC filers, and December 15, 2021 for all other entities, including EGCs that have elected to defer adoption until the guidance becomes effective for non-public entities, with early adoption permitted. The Company adopted this guidance as of its fiscal year beginning April 1, 2020. Adoption of this guidance did not have a material effect on the condensed consolidated financial statements.</w:t>
      </w:r>
    </w:p>
    <w:p>
      <w:pPr>
        <w:spacing w:after="0" w:line="18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9"/>
          <w:szCs w:val="19"/>
          <w:color w:val="auto"/>
        </w:rPr>
        <w:t xml:space="preserve">In December 2019, the FASB issued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modifies ASC 740 to simplify the accounting for income taxes. The guidance, among other changes, (i) provides a policy election to not allocate consolidated income taxes when a member of a consolidated tax return is not subject to income tax and (ii) provides guidance to evaluate whether a step-up in tax basis of goodwill relates to a business combination in which book goodwill was recognized or a separate transaction. This guidance is effective for annual periods beginning after December 15, 2020. The Company is currently evaluating the impact of this guidance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32,606</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SMAs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31,229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50,140</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21,564</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Fund reimbursement revenues</w:t>
            </w:r>
          </w:p>
        </w:tc>
        <w:tc>
          <w:tcPr>
            <w:tcW w:w="2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57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86"/>
        </w:trPr>
        <w:tc>
          <w:tcPr>
            <w:tcW w:w="5700" w:type="dxa"/>
            <w:vAlign w:val="bottom"/>
          </w:tcPr>
          <w:p>
            <w:pPr>
              <w:spacing w:after="0"/>
              <w:rPr>
                <w:sz w:val="24"/>
                <w:szCs w:val="24"/>
                <w:color w:val="auto"/>
              </w:rPr>
            </w:pPr>
          </w:p>
        </w:tc>
        <w:tc>
          <w:tcPr>
            <w:tcW w:w="29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Focused commingled funds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86"/>
        </w:trPr>
        <w:tc>
          <w:tcPr>
            <w:tcW w:w="5700" w:type="dxa"/>
            <w:vAlign w:val="bottom"/>
          </w:tcPr>
          <w:p>
            <w:pPr>
              <w:spacing w:after="0"/>
              <w:rPr>
                <w:sz w:val="24"/>
                <w:szCs w:val="24"/>
                <w:color w:val="auto"/>
              </w:rPr>
            </w:pPr>
          </w:p>
        </w:tc>
        <w:tc>
          <w:tcPr>
            <w:tcW w:w="29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4"/>
                <w:szCs w:val="24"/>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94,500</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29,793</w:t>
            </w:r>
          </w:p>
        </w:tc>
      </w:tr>
      <w:tr>
        <w:trPr>
          <w:trHeight w:val="248"/>
        </w:trPr>
        <w:tc>
          <w:tcPr>
            <w:tcW w:w="5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166,065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increase or decrease in carried interest allocation for the three and six months ended September 30, 2020 as compared to the prior year periods are primarily attributable to net unrealized appreciation or depreciation in the fair value of certain underlying fund investments. See note 2 for a discussion of the Company's accounting policy for investments on a three-month lag.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29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91"/>
              </w:rPr>
              <w:t>Six Months Ended September 30,</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52,960</w:t>
            </w:r>
          </w:p>
        </w:tc>
        <w:tc>
          <w:tcPr>
            <w:tcW w:w="0" w:type="dxa"/>
            <w:vAlign w:val="bottom"/>
          </w:tcPr>
          <w:p>
            <w:pPr>
              <w:spacing w:after="0"/>
              <w:rPr>
                <w:sz w:val="1"/>
                <w:szCs w:val="1"/>
                <w:color w:val="auto"/>
              </w:rPr>
            </w:pPr>
          </w:p>
        </w:tc>
      </w:tr>
      <w:tr>
        <w:trPr>
          <w:trHeight w:val="215"/>
        </w:trPr>
        <w:tc>
          <w:tcPr>
            <w:tcW w:w="570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196,362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103,336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129,539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178,491</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right="460" w:hanging="652"/>
        <w:spacing w:after="0" w:line="260"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three and six months ended September 30, 2020 and 2019, no individual client represented 10% or more of the Company’s management and advisory fees.</w:t>
      </w:r>
    </w:p>
    <w:p>
      <w:pPr>
        <w:spacing w:after="0" w:line="1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As of September 30, 2020 and March 31, 2020, the Company had $13.6 million and $8.5 million, respectively, of deferred revenues, which is included in accounts payable, accrued expenses and other liabilities in the condensed consolidated balance sheets. During the six months ended September 30, 2020, the Company had recognized $0.5 million as revenue from amounts included in the deferred revenue balance as of March 31, 2020.</w:t>
      </w:r>
    </w:p>
    <w:p>
      <w:pPr>
        <w:spacing w:after="0" w:line="185" w:lineRule="exact"/>
        <w:rPr>
          <w:sz w:val="20"/>
          <w:szCs w:val="20"/>
          <w:color w:val="auto"/>
        </w:rPr>
      </w:pPr>
    </w:p>
    <w:p>
      <w:pPr>
        <w:ind w:left="660" w:right="8760" w:hanging="652"/>
        <w:spacing w:after="0" w:line="520" w:lineRule="auto"/>
        <w:tabs>
          <w:tab w:leader="none" w:pos="3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ind w:right="40" w:firstLine="648"/>
        <w:spacing w:after="0" w:line="242" w:lineRule="auto"/>
        <w:rPr>
          <w:sz w:val="20"/>
          <w:szCs w:val="20"/>
          <w:color w:val="auto"/>
        </w:rPr>
      </w:pPr>
      <w:r>
        <w:rPr>
          <w:rFonts w:ascii="Arial" w:cs="Arial" w:eastAsia="Arial" w:hAnsi="Arial"/>
          <w:sz w:val="20"/>
          <w:szCs w:val="20"/>
          <w:color w:val="auto"/>
        </w:rPr>
        <w:t>The Company consolidates certain VIEs for which it is the primary beneficiary. VIEs consist of certain operating entities not wholly-owned by the Company and include Swiss Capital, SRA and SRE. See note 2 for more information on the Company’s accounting policies related to the consolidation of VIEs. The assets of the consolidated VIEs totaled $52.4 million and $49.2 million as of September 30, 2020 and March 31, 2020, respectively. The liabilities of the consolidated VIEs totaled $26.2 million and $13.5 million as of September 30, 2020 and March 31, 2020,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September 30, 2020, no amounts previously distributed have been accrued for clawback liabilities.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Due from affiliates, net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6,116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52,861</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53,386</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carried interest allocations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486,206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460,837</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544,076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514,223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The Company recognized equity method income of $170.4 million and $79.2 million for the three months ended September 30, 2020 and 2019, respectively, of which $166.1 million and $77.3 million, respectively, related to carried interest allocations. The Company recognized equity method income of $38.7 million and $127.5 million for the six months ended September 30, 2020 and 2019, respectively, of which $37.6 million and $124.3 million, respectively, related to carried interest allocations.</w:t>
      </w:r>
    </w:p>
    <w:p>
      <w:pPr>
        <w:spacing w:after="0" w:line="176"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As of September 30, 2020, the Company’s investments in two SMAs each individually represented 10% or more of the total accrued carried interest allocations balance, and in the aggregate represented approximately 25% of the total accrued carried interest allocations balance as of that date. As of March 31, 2020, the Company’s investments in three SMAs each individually represented 10% or more of the total accrued carried interest allocations balance, and in the aggregate represented approximately 37% of the total accrued carried interest allocations balance as of that date.</w:t>
      </w:r>
    </w:p>
    <w:p>
      <w:pPr>
        <w:spacing w:after="0" w:line="194"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Of the total accrued carried interest allocations balance as of September 30, 2020 and March 31, 2020, respectively, $245.8 million and $237.7 million were payable to affiliates and is included in accrued carried interest-related compensation in the condensed consolidated balance sheets.</w:t>
      </w:r>
    </w:p>
    <w:p>
      <w:pPr>
        <w:spacing w:after="0" w:line="186"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September 30, 2020 and March 31, 2020 and for the three and six months ended September 30, 2020 and 2019, no individual equity method investment held by the Company met the significance criteria. As a result, the Company is not required to provide separate financial statements for any of its equity method investments.</w:t>
      </w:r>
    </w:p>
    <w:p>
      <w:pPr>
        <w:spacing w:after="0" w:line="18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1000" w:firstLine="648"/>
        <w:spacing w:after="0" w:line="260" w:lineRule="auto"/>
        <w:rPr>
          <w:sz w:val="20"/>
          <w:szCs w:val="20"/>
          <w:color w:val="auto"/>
        </w:rPr>
      </w:pPr>
      <w:r>
        <w:rPr>
          <w:rFonts w:ascii="Arial" w:cs="Arial" w:eastAsia="Arial" w:hAnsi="Arial"/>
          <w:sz w:val="20"/>
          <w:szCs w:val="20"/>
          <w:color w:val="auto"/>
        </w:rPr>
        <w:t>The Company measures its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As of September 30, 2020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three and six months ended September 30, 2020 and 2019.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is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1"/>
              </w:rPr>
              <w:t>Six Months Ended September 30,</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7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Gain (loss) on change in fair value</w:t>
            </w:r>
          </w:p>
        </w:tc>
        <w:tc>
          <w:tcPr>
            <w:tcW w:w="76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20"/>
              <w:spacing w:after="0" w:line="176" w:lineRule="exact"/>
              <w:rPr>
                <w:sz w:val="20"/>
                <w:szCs w:val="20"/>
                <w:color w:val="auto"/>
              </w:rPr>
            </w:pPr>
            <w:r>
              <w:rPr>
                <w:rFonts w:ascii="Arial" w:cs="Arial" w:eastAsia="Arial" w:hAnsi="Arial"/>
                <w:sz w:val="18"/>
                <w:szCs w:val="18"/>
                <w:color w:val="auto"/>
                <w:w w:val="92"/>
              </w:rPr>
              <w:t>Changes in unrealized gains (losses) included in earnings related to financial</w:t>
            </w:r>
          </w:p>
        </w:tc>
        <w:tc>
          <w:tcPr>
            <w:tcW w:w="760" w:type="dxa"/>
            <w:vAlign w:val="bottom"/>
            <w:vMerge w:val="restart"/>
          </w:tcPr>
          <w:p>
            <w:pPr>
              <w:jc w:val="right"/>
              <w:ind w:right="574"/>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liabilities still held at the reporting date</w:t>
            </w:r>
          </w:p>
        </w:tc>
        <w:tc>
          <w:tcPr>
            <w:tcW w:w="76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The amount of the contingent consideration liability is based on the achievement of certain performance targets. 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liability primarily relate to the discount rates applied to the expected future payments of obligations, which ranged from 8.0% to 13.0% as of September 30, 2020. The contingent consideration liability is included in accounts payable, accrued expenses and other liabilities in the condensed consolidated balance sheets. Changes in the fair value of the liability are included in general, administrative and other expenses in the condensed consolidated statements of income.</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Intangible assets primarily consist of certain management contracts providing economic rights to management and advisory fees, as obtained through the Company’s acquisitions of other businesses.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(32,228)</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8"/>
          <w:szCs w:val="18"/>
          <w:color w:val="auto"/>
        </w:rPr>
        <w:t>Amortization expense related to intangible assets was $0.8 million and $1.3 million for the three months ended September 30, 2020 and 2019, respectively, and $1.7 million and $2.7 million for the six months ended September 30, 2020 and 2019, respectively. These amounts are included in general, administrative and other expenses in the condensed consolidated statements of income.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September 30, 2020, the expected future amortization of finite-lived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FY2023</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20"/>
          <w:szCs w:val="20"/>
          <w:color w:val="auto"/>
        </w:rPr>
        <w:t>The carrying value of goodwill was $6.8 million as of September 30, 2020 and March 31, 2020. The Company determined there was no indication of goodwill impairment as of September 30, 2020 and March 31, 2020.</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Debt Obligations</w:t>
      </w:r>
    </w:p>
    <w:p>
      <w:pPr>
        <w:spacing w:after="0" w:line="222"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On September 18, 2020, the Company repaid in full the indebtedness outstanding on a senior secured term loan (“Term Loan B”) in the amount of $146.6 million and effectively terminated the facility, including the senior secured revolving facility. In connection with the repayment, the Company wrote-off the unamortized debt issuance costs and discount of $3.5 million, which is included in interest expense in the condensed consolidated statements of income for the quarter ended September 30, 2020. As of September 30, 2020, the Company had no debt obligations outstanding. As of March 31, 2020, the Company had $143.1 million of debt obligations outstanding.</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Equity-based Compensation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2020 Long-Term Incentive Plan</w:t>
      </w:r>
    </w:p>
    <w:p>
      <w:pPr>
        <w:spacing w:after="0" w:line="22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 connection with the IPO, the Company adopted the 2020 Long-Term Incentive Plan (“LTIP”), which allows for the granting of stock options, stock appreciation rights, restricted stock awards, restricted stock units and performance stock awards to employees, directors and consultants. As of September 30, 2020, there were 2,490,555 shares of Class A common stock available to grant under the LTIP.</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Stock Units</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 September 18, 2020, the Company granted 2,509,445 RSUs to certain employees and directors with an aggregate grant date fair value of $45.2 million. 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the number of shares to satisfy the statutory withholding tax obligation and deliver the net number of resulting shares vested.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2,509,445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jc w:val="both"/>
        <w:ind w:right="100" w:firstLine="648"/>
        <w:spacing w:after="0" w:line="272" w:lineRule="auto"/>
        <w:rPr>
          <w:sz w:val="20"/>
          <w:szCs w:val="20"/>
          <w:color w:val="auto"/>
        </w:rPr>
      </w:pPr>
      <w:r>
        <w:rPr>
          <w:rFonts w:ascii="Arial" w:cs="Arial" w:eastAsia="Arial" w:hAnsi="Arial"/>
          <w:sz w:val="18"/>
          <w:szCs w:val="18"/>
          <w:color w:val="auto"/>
        </w:rPr>
        <w:t>As part of the reorganization, previously granted awards of Class A2 unvested partnership units were reclassified as Class B2 units, which will vest periodically through 2024. Upon the final vesting date, all of the Class B2 units will automatically convert into Class B units and unitholders will be entitled to purchase from the Company one share of Class B common stock for each Class B unit at its par value.</w:t>
      </w:r>
    </w:p>
    <w:p>
      <w:pPr>
        <w:spacing w:after="0" w:line="1" w:lineRule="exact"/>
        <w:rPr>
          <w:sz w:val="20"/>
          <w:szCs w:val="20"/>
          <w:color w:val="auto"/>
        </w:rPr>
      </w:pPr>
    </w:p>
    <w:p>
      <w:pPr>
        <w:ind w:right="580"/>
        <w:spacing w:after="0" w:line="244" w:lineRule="auto"/>
        <w:rPr>
          <w:sz w:val="20"/>
          <w:szCs w:val="20"/>
          <w:color w:val="auto"/>
        </w:rPr>
      </w:pPr>
      <w:r>
        <w:rPr>
          <w:rFonts w:ascii="Arial" w:cs="Arial" w:eastAsia="Arial" w:hAnsi="Arial"/>
          <w:sz w:val="20"/>
          <w:szCs w:val="20"/>
          <w:color w:val="auto"/>
        </w:rPr>
        <w:t>Prior to vesting, holders of Class B2 units do not have the right to receive any distributions from the Partnership, other than tax-related distributions.</w:t>
      </w:r>
    </w:p>
    <w:p>
      <w:pPr>
        <w:spacing w:after="0" w:line="191" w:lineRule="exact"/>
        <w:rPr>
          <w:sz w:val="20"/>
          <w:szCs w:val="20"/>
          <w:color w:val="auto"/>
        </w:rPr>
      </w:pPr>
    </w:p>
    <w:p>
      <w:pPr>
        <w:ind w:right="160" w:firstLine="648"/>
        <w:spacing w:after="0" w:line="385" w:lineRule="auto"/>
        <w:rPr>
          <w:sz w:val="20"/>
          <w:szCs w:val="20"/>
          <w:color w:val="auto"/>
        </w:rPr>
      </w:pPr>
      <w:r>
        <w:rPr>
          <w:rFonts w:ascii="Arial" w:cs="Arial" w:eastAsia="Arial" w:hAnsi="Arial"/>
          <w:sz w:val="16"/>
          <w:szCs w:val="16"/>
          <w:color w:val="auto"/>
        </w:rPr>
        <w:t>As of September 30, 2020, there were 2,591,352 unvested Class B2 units outstanding. During the six months ended September 30, 2020, none of the outstanding Class B2 units were forfeited. As of September 30, 2020, none of the outstanding Class B2 units were vested.</w:t>
      </w:r>
    </w:p>
    <w:p>
      <w:pPr>
        <w:spacing w:after="0" w:line="85"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As of September 30, 2020, $51.9 million of unrecognized non-cash compensation expense in respect of RSUs and Class B2 units remained to be recognized over a weighted-average period of approximately 4.0 years.</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Prior to the Reorganization and IPO, the Company operated as a partnership for U.S. federal income tax purposes and therefore was not subject to U.S. federal and state income taxes. Subsequent to the Reorganization and IPO, all income attributable to the Company is subject to U.S. corporate income taxes.</w:t>
      </w:r>
    </w:p>
    <w:p>
      <w:pPr>
        <w:spacing w:after="0" w:line="18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9"/>
          <w:szCs w:val="19"/>
          <w:color w:val="auto"/>
        </w:rPr>
        <w:t>The Reorganization and IPO resulted in a step-up in the tax basis of certain assets that will be recovered as those assets are sold or the basis is amortized. As a result, the Company recognized a deferred tax asset in the amount of $81.3 million as of September 30, 2020, associated with the increase in tax basis from the Reorganization and IPO, as well as the basis difference in SSG’s investment in the Partnership. A portion of the total basis difference will only reverse upon a sale of SSG’s interest in the Partnership, which is not expected to occur in the foreseeable future. Therefore, the Company has recognized a valuation allowance in the amount of $37.8 million against the deferred tax asset (resulting in a net deferred tax asset of $43.5 million) which is considered capital in nature as it was not more-likely-than-not that this portion of deferred tax assets would be realized. Concurrently with the Reorganization, IPO and recording of the deferred tax asset, the Company recorded a payable pursuant to the Tax Receivable Agreements within due to affiliates in the condensed consolidated balance sheets of $50.7 million.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tax rate was 0.8% and 2.2% for the three months ended September 30, 2020 and 2019, respectively,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3.5% and 2.1% for the six months ended September 30, 2020 and 2019, respectively. The Company’s effective tax rate is dependent on many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including the estimated amount of income subject to tax. Consequently, the effective tax rate can vary from period to period.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overall effective tax rate in each of the periods described above is less than the statutory rate primarily because (a)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 not subject to U.S. federal taxes prior to the Reorganization and IPO and (b) a portion of income is allocated to non-controlling interests,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and the tax liability on such income is borne by the holders of such non-controlling interests.</w:t>
      </w:r>
    </w:p>
    <w:p>
      <w:pPr>
        <w:spacing w:after="0" w:line="200"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Company evaluates the realizability of its deferred tax asset on a quarterly basis and adjusts the valuation allowance when it is more-likely-than-not that all or a portion of the deferred tax asset may not be realized.</w:t>
      </w:r>
    </w:p>
    <w:p>
      <w:pPr>
        <w:spacing w:after="0" w:line="17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As of September 30, 2020, the Company has not recorded any unrecognized tax benefits and does not expect there to be any material changes to uncertain tax positions within the next 12 months.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files its tax returns as prescribed by the tax laws of the jurisdictions in which it operates. In the normal course of business, the Company is subject to examination by U.S. federal, state, local and foreign tax authorities. Although the outcome of tax audits is always uncertain, the Company does not believe the outcome of any future audit will have a material adverse effect on the Company’s condensed consolidated financial statements.</w:t>
      </w:r>
    </w:p>
    <w:p>
      <w:pPr>
        <w:spacing w:after="0" w:line="18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ind w:right="200" w:firstLine="648"/>
        <w:spacing w:after="0" w:line="291" w:lineRule="auto"/>
        <w:rPr>
          <w:sz w:val="20"/>
          <w:szCs w:val="20"/>
          <w:color w:val="auto"/>
        </w:rPr>
      </w:pPr>
      <w:r>
        <w:rPr>
          <w:rFonts w:ascii="Arial" w:cs="Arial" w:eastAsia="Arial" w:hAnsi="Arial"/>
          <w:sz w:val="18"/>
          <w:szCs w:val="18"/>
          <w:color w:val="auto"/>
        </w:rPr>
        <w:t>Basic and diluted earnings per share of Class A common stock is presented for the period from September 16, 2020 through September 30, 2020, the period following the Reorganization and IPO. There were no shares of Class A common stock outstanding prior to September 16, 2020, therefore no earnings per share information has been presented for any period prior to that date.</w:t>
      </w:r>
    </w:p>
    <w:p>
      <w:pPr>
        <w:spacing w:after="0" w:line="15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The following table sets forth reconciliations of the numerators and denominators used to compute basic and diluted earnings per share of Class A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September 16, 2020 through</w:t>
            </w:r>
          </w:p>
        </w:tc>
      </w:tr>
      <w:tr>
        <w:trPr>
          <w:trHeight w:val="229"/>
        </w:trPr>
        <w:tc>
          <w:tcPr>
            <w:tcW w:w="8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September 30, 2020</w:t>
            </w:r>
          </w:p>
        </w:tc>
      </w:tr>
      <w:tr>
        <w:trPr>
          <w:trHeight w:val="237"/>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StepStone Group Inc. – 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 – Basic and Diluted</w:t>
            </w:r>
          </w:p>
        </w:tc>
        <w:tc>
          <w:tcPr>
            <w:tcW w:w="24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29,237,500</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of Class A common stock – 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bl>
    <w:p>
      <w:pPr>
        <w:spacing w:after="0" w:line="199"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2" w:lineRule="exact"/>
        <w:rPr>
          <w:sz w:val="20"/>
          <w:szCs w:val="20"/>
          <w:color w:val="auto"/>
        </w:rPr>
      </w:pPr>
    </w:p>
    <w:p>
      <w:pPr>
        <w:ind w:right="200" w:firstLine="648"/>
        <w:spacing w:after="0" w:line="269" w:lineRule="auto"/>
        <w:rPr>
          <w:sz w:val="20"/>
          <w:szCs w:val="20"/>
          <w:color w:val="auto"/>
        </w:rPr>
      </w:pPr>
      <w:r>
        <w:rPr>
          <w:rFonts w:ascii="Arial" w:cs="Arial" w:eastAsia="Arial" w:hAnsi="Arial"/>
          <w:sz w:val="19"/>
          <w:szCs w:val="19"/>
          <w:color w:val="auto"/>
        </w:rPr>
        <w:t>The calculation of diluted earnings per share excludes 2,509,445 shares of Class A common stock, 2,591,352 Class B2 units and 94,574 Class B units issuable pursuant to anti-dilution rights in connection with the vesting of Class B2 units that are convertible into Class A common stock under the if-converted method as the inclusion of such shares would be anti-dilutive.</w:t>
      </w:r>
    </w:p>
    <w:p>
      <w:pPr>
        <w:spacing w:after="0" w:line="170"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calculation of diluted earnings per share excludes 65,578,831 shares of Class B units of the Partnership, which are exchangeable into Class A common stock under the if-converted method, as the inclusion of such shares would be anti-dilutive.</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its senior executives, employees and equity method investments to be related parties. A substantial portion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management and advisory fees and carried interest allocations is earned from various StepStone Funds that are considered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equity method investments. The Company earned net management and advisory fees from the StepStone Funds of $47.8 million and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$30.7 million for the three months ended September 30, 2020 and 2019, respectively, and $85.1 million and $57.8 million for the six months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2020 and 2019, respectively. Carried interest allocation revenues earned from the StepStone Funds totaled $166.1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and $77.3 million for the three months ended September 30, 2020 and 2019, respectively, and $37.6 million and $124.3 million for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six months ended September 30, 2020 and 2019, respectively.</w:t>
      </w:r>
    </w:p>
    <w:p>
      <w:pPr>
        <w:spacing w:after="0" w:line="20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w:t>
      </w:r>
    </w:p>
    <w:p>
      <w:pPr>
        <w:spacing w:after="0" w:line="18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56,877</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the IPO:</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15, 2020</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Issued to public holders in the IPO</w:t>
            </w:r>
          </w:p>
        </w:tc>
        <w:tc>
          <w:tcPr>
            <w:tcW w:w="2400" w:type="dxa"/>
            <w:vAlign w:val="bottom"/>
          </w:tcPr>
          <w:p>
            <w:pPr>
              <w:jc w:val="right"/>
              <w:spacing w:after="0"/>
              <w:rPr>
                <w:sz w:val="20"/>
                <w:szCs w:val="20"/>
                <w:color w:val="auto"/>
              </w:rPr>
            </w:pPr>
            <w:r>
              <w:rPr>
                <w:rFonts w:ascii="Arial" w:cs="Arial" w:eastAsia="Arial" w:hAnsi="Arial"/>
                <w:sz w:val="18"/>
                <w:szCs w:val="18"/>
                <w:color w:val="auto"/>
              </w:rPr>
              <w:t>20,125,000</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to Class B unitholders in the Reorganization</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Class A partnership units exchanged in the Reorganization</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9,112,500</w:t>
            </w:r>
          </w:p>
        </w:tc>
        <w:tc>
          <w:tcPr>
            <w:tcW w:w="14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29,237,500</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In connection with the consummation of the IPO, the Partnership issued new partnership interests to certain StepStone professionals in the Infrastructure subsidiary in exchange for their partnership interests in the Infrastructure subsidiary, which increased the interest of the Partnership in the Infrastructure subsidiary to approximately 49% and decreased the interest of the StepStone professionals in the Infrastructure subsidiary to approximately 51%.</w:t>
      </w:r>
    </w:p>
    <w:p>
      <w:pPr>
        <w:spacing w:after="0" w:line="191" w:lineRule="exact"/>
        <w:rPr>
          <w:sz w:val="20"/>
          <w:szCs w:val="20"/>
          <w:color w:val="auto"/>
        </w:rPr>
      </w:pPr>
    </w:p>
    <w:p>
      <w:pPr>
        <w:jc w:val="both"/>
        <w:ind w:right="500" w:firstLine="648"/>
        <w:spacing w:after="0" w:line="269"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0" w:lineRule="exact"/>
        <w:rPr>
          <w:sz w:val="20"/>
          <w:szCs w:val="20"/>
          <w:color w:val="auto"/>
        </w:rPr>
      </w:pPr>
    </w:p>
    <w:p>
      <w:pPr>
        <w:ind w:right="300" w:firstLine="648"/>
        <w:spacing w:after="0" w:line="269" w:lineRule="auto"/>
        <w:rPr>
          <w:sz w:val="20"/>
          <w:szCs w:val="20"/>
          <w:color w:val="auto"/>
        </w:rPr>
      </w:pPr>
      <w:r>
        <w:rPr>
          <w:rFonts w:ascii="Arial" w:cs="Arial" w:eastAsia="Arial" w:hAnsi="Arial"/>
          <w:sz w:val="19"/>
          <w:szCs w:val="19"/>
          <w:color w:val="auto"/>
        </w:rPr>
        <w:t>In June 2020, one of the Company’s consolidated subsidiaries completed a transaction to repurchase partnership interests in the subsidiary from a former partner for approximately $3.3 million, and subsequently sold an equal number of partnership interests to certain employees of the subsidiary for approximately $3.3 million, resulting in no net proceeds to the subsidiary.</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0" w:lineRule="exact"/>
        <w:rPr>
          <w:sz w:val="20"/>
          <w:szCs w:val="20"/>
          <w:color w:val="auto"/>
        </w:rPr>
      </w:pPr>
    </w:p>
    <w:p>
      <w:pPr>
        <w:ind w:left="660" w:right="7980" w:hanging="652"/>
        <w:spacing w:after="0" w:line="468" w:lineRule="auto"/>
        <w:tabs>
          <w:tab w:leader="none" w:pos="457"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Litigation</w:t>
      </w:r>
    </w:p>
    <w:p>
      <w:pPr>
        <w:ind w:right="20" w:firstLine="648"/>
        <w:spacing w:after="0" w:line="243" w:lineRule="auto"/>
        <w:rPr>
          <w:sz w:val="20"/>
          <w:szCs w:val="20"/>
          <w:color w:val="auto"/>
        </w:rPr>
      </w:pPr>
      <w:r>
        <w:rPr>
          <w:rFonts w:ascii="Arial" w:cs="Arial" w:eastAsia="Arial" w:hAnsi="Arial"/>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have a potential liability related to any current legal proceedings or claims that would individually or in the aggregate materially affect its condensed consolidated financial statements as of September 30, 2020.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The Company leases offices in 19 cities in the United States, Canada, South America, Europe, Asia and Australia, and office equipment subject to operating lease agreements expiring through 2031. The Company accounts for its operating leases on a straight-line basis and includes the related expense in general, administrative and other expenses in the condensed consolidated statements of income. The Company’s lease terms may include options to extend or terminate the lease when it is reasonably certain that the Company will exercise those options. Occupancy expense related to office facility operating leases totaled $2.3 million and $2.2 million for the three months ended September 30, 2020 and 2019, respectively, and $4.6 million and $4.5 million for the six months ended September 30, 2020 and 2019, respectively.</w:t>
      </w:r>
    </w:p>
    <w:p>
      <w:pPr>
        <w:spacing w:after="0" w:line="193"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Future minimum lease payments related to the Company’s operating leases that have initial or remaining noncancelable lease terms in excess of one year as of September 30, 2020 are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8,992</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9,187</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40,485</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81,125</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 Company has entered into non-cancelable sublease arrangements with terms extending through 2026, pursuant to which the Company expects to receive total minimum rental payments of $8.1 million. Minimum operating lease payments presented in the table above have not been reduced by these minimum sublease rental payments.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49" w:lineRule="exact"/>
        <w:rPr>
          <w:sz w:val="20"/>
          <w:szCs w:val="20"/>
          <w:color w:val="auto"/>
        </w:rPr>
      </w:pPr>
    </w:p>
    <w:p>
      <w:pPr>
        <w:ind w:right="40" w:firstLine="648"/>
        <w:spacing w:after="0" w:line="303" w:lineRule="auto"/>
        <w:rPr>
          <w:sz w:val="20"/>
          <w:szCs w:val="20"/>
          <w:color w:val="auto"/>
        </w:rPr>
      </w:pPr>
      <w:r>
        <w:rPr>
          <w:rFonts w:ascii="Arial" w:cs="Arial" w:eastAsia="Arial" w:hAnsi="Arial"/>
          <w:sz w:val="20"/>
          <w:szCs w:val="20"/>
          <w:color w:val="auto"/>
        </w:rPr>
        <w:t>As of September 30, 2020 and March 31, 2020, the Company, generally in its capacity as general partner or managing member of the StepStone Funds, had unfunded commitments totaling $61.4 million and $57.9 million, respectively.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2020 and March 31, 2020, there were no amounts for potential clawback obligations accrued. This contingent obligation is normally reduced by income taxes that the Company has paid related to the carried interest allocations. As of September 30, 2020, the maximum amount of carried interest allocation subject to contingent repayment was an estimated $79.9 million, net of tax, assuming the fair value of all investments was zero, a possibility that the Company views as remote.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September 30, 2020 and March 31, 2020. Based on past experience, management believes that the risk of loss related to these indemnities is remote.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events have occurred subsequent to the date of the condensed consolidated financial statements that would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5" w:name="page36"/>
    <w:bookmarkEnd w:id="35"/>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prospectus dated September 15, 2020, filed with the U.S. Securities and Exchange Commission (“SEC”) on September 16, 2020. This quarterly report reflects the historical results of operations and financial position of StepStone Group LP, our predecessor for accounting purposes, prior to the Reorganization and IPO. In this quarterly report, references to “we,” “us,” “our,” “StepStone” and similar terms refer to SSG and its consolidated subsidiaries, including the Partnership, following the Reorganization and IPO and to the Partnership and its consolidated subsidiaries prior to the Reorganization and IPO.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180" w:firstLine="648"/>
        <w:spacing w:after="0" w:line="256"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September 30, 2020, we oversaw approximately $313 billion of private markets allocations, including $72 billion of AUM and $241 billion of assets under advisement (“AUA”).</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We are a global firm and believe that local knowledge, business relationships and presence are all critical to securing a competitive edge in the private markets. We deploy a local staffing model, operating from 19 offices across 13 countries in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September 30, 2020, we had 553 total employees, including 200 investment professionals and more than 350 employees across our operating team and implementation teams dedicated to sourcing, executing, analyzing and monitoring private markets opportunities.</w:t>
      </w:r>
    </w:p>
    <w:p>
      <w:pPr>
        <w:spacing w:after="0" w:line="180"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80" w:hanging="328"/>
        <w:spacing w:after="0" w:line="246"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$55 billion of our AUM as of September 30, 2020</w:t>
      </w:r>
      <w:r>
        <w:rPr>
          <w:rFonts w:ascii="Arial" w:cs="Arial" w:eastAsia="Arial" w:hAnsi="Arial"/>
          <w:sz w:val="20"/>
          <w:szCs w:val="20"/>
          <w:color w:val="231F20"/>
        </w:rPr>
        <w:t>.</w:t>
      </w:r>
    </w:p>
    <w:p>
      <w:pPr>
        <w:spacing w:after="0" w:line="191" w:lineRule="exact"/>
        <w:rPr>
          <w:rFonts w:ascii="Arial" w:cs="Arial" w:eastAsia="Arial" w:hAnsi="Arial"/>
          <w:sz w:val="20"/>
          <w:szCs w:val="20"/>
          <w:color w:val="auto"/>
        </w:rPr>
      </w:pPr>
    </w:p>
    <w:p>
      <w:pPr>
        <w:ind w:left="660" w:right="200" w:hanging="328"/>
        <w:spacing w:after="0" w:line="31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$14 billion of our AUM as of </w:t>
      </w:r>
      <w:r>
        <w:rPr>
          <w:rFonts w:ascii="Arial" w:cs="Arial" w:eastAsia="Arial" w:hAnsi="Arial"/>
          <w:sz w:val="18"/>
          <w:szCs w:val="18"/>
          <w:color w:val="000000"/>
        </w:rPr>
        <w:t>September 30, 2020</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1" w:lineRule="exact"/>
        <w:rPr>
          <w:sz w:val="20"/>
          <w:szCs w:val="20"/>
          <w:color w:val="auto"/>
        </w:rPr>
      </w:pPr>
    </w:p>
    <w:p>
      <w:pPr>
        <w:ind w:left="660" w:right="40" w:hanging="328"/>
        <w:spacing w:after="0" w:line="24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231F20"/>
        </w:rPr>
        <w:t xml:space="preserve">Advisory and data services. </w:t>
      </w:r>
      <w:r>
        <w:rPr>
          <w:rFonts w:ascii="Arial" w:cs="Arial" w:eastAsia="Arial" w:hAnsi="Arial"/>
          <w:sz w:val="20"/>
          <w:szCs w:val="20"/>
          <w:color w:val="231F20"/>
        </w:rPr>
        <w:t>These services include one or more of the following for our clients: (i) recurring support of portfolio</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and Pacing, our portfolio cash flow, investment allocation and liquidity forecasting tool. Advisory relationships comprised </w:t>
      </w:r>
      <w:r>
        <w:rPr>
          <w:rFonts w:ascii="Arial" w:cs="Arial" w:eastAsia="Arial" w:hAnsi="Arial"/>
          <w:sz w:val="20"/>
          <w:szCs w:val="20"/>
          <w:color w:val="000000"/>
        </w:rPr>
        <w:t>$241 billion</w:t>
      </w:r>
      <w:r>
        <w:rPr>
          <w:rFonts w:ascii="Arial" w:cs="Arial" w:eastAsia="Arial" w:hAnsi="Arial"/>
          <w:sz w:val="20"/>
          <w:szCs w:val="20"/>
          <w:color w:val="231F20"/>
        </w:rPr>
        <w:t xml:space="preserve"> of our AUA and $3 billion of our AUM as of </w:t>
      </w:r>
      <w:r>
        <w:rPr>
          <w:rFonts w:ascii="Arial" w:cs="Arial" w:eastAsia="Arial" w:hAnsi="Arial"/>
          <w:sz w:val="20"/>
          <w:szCs w:val="20"/>
          <w:color w:val="000000"/>
        </w:rPr>
        <w:t>September 30, 2020</w:t>
      </w:r>
      <w:r>
        <w:rPr>
          <w:rFonts w:ascii="Arial" w:cs="Arial" w:eastAsia="Arial" w:hAnsi="Arial"/>
          <w:sz w:val="20"/>
          <w:szCs w:val="20"/>
          <w:color w:val="231F20"/>
        </w:rPr>
        <w:t>.</w:t>
      </w:r>
    </w:p>
    <w:p>
      <w:pPr>
        <w:spacing w:after="0" w:line="192" w:lineRule="exact"/>
        <w:rPr>
          <w:rFonts w:ascii="Arial" w:cs="Arial" w:eastAsia="Arial" w:hAnsi="Arial"/>
          <w:sz w:val="20"/>
          <w:szCs w:val="20"/>
          <w:color w:val="auto"/>
        </w:rPr>
      </w:pPr>
    </w:p>
    <w:p>
      <w:pPr>
        <w:ind w:left="660" w:right="240" w:hanging="328"/>
        <w:spacing w:after="0" w:line="260" w:lineRule="auto"/>
        <w:tabs>
          <w:tab w:leader="none" w:pos="648"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231F20"/>
        </w:rPr>
        <w:t xml:space="preserve">Portfolio analytics and reporting. </w:t>
      </w:r>
      <w:r>
        <w:rPr>
          <w:rFonts w:ascii="Arial" w:cs="Arial" w:eastAsia="Arial" w:hAnsi="Arial"/>
          <w:sz w:val="19"/>
          <w:szCs w:val="19"/>
          <w:color w:val="231F20"/>
        </w:rPr>
        <w:t>We provide clients with tailored reporting packages, including customized performance</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benchmarks as well as associated compliance, administrative and tax capabilities. Mandates for portfolio analytics and reporting services typically include licensed access to our proprietary performance monitoring software, Omni. Through Omni, we provided portfolio analytics and reporting on over $520 billion of client commitments as of </w:t>
      </w:r>
      <w:r>
        <w:rPr>
          <w:rFonts w:ascii="Arial" w:cs="Arial" w:eastAsia="Arial" w:hAnsi="Arial"/>
          <w:sz w:val="19"/>
          <w:szCs w:val="19"/>
          <w:color w:val="000000"/>
        </w:rPr>
        <w:t>September 30, 2020</w:t>
      </w:r>
      <w:r>
        <w:rPr>
          <w:rFonts w:ascii="Arial" w:cs="Arial" w:eastAsia="Arial" w:hAnsi="Arial"/>
          <w:sz w:val="19"/>
          <w:szCs w:val="19"/>
          <w:color w:val="231F20"/>
        </w:rPr>
        <w:t>, inclusive of our combined AUM/AUA, previously exited investments and investments of former clients.</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231F20"/>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00" w:lineRule="exact"/>
        <w:rPr>
          <w:sz w:val="20"/>
          <w:szCs w:val="20"/>
          <w:color w:val="auto"/>
        </w:rPr>
      </w:pPr>
    </w:p>
    <w:p>
      <w:pPr>
        <w:ind w:left="660" w:right="140" w:hanging="328"/>
        <w:spacing w:after="0" w:line="243"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1" w:lineRule="exact"/>
        <w:rPr>
          <w:sz w:val="20"/>
          <w:szCs w:val="20"/>
          <w:color w:val="auto"/>
        </w:rPr>
      </w:pPr>
    </w:p>
    <w:p>
      <w:pPr>
        <w:ind w:left="660" w:right="80" w:hanging="328"/>
        <w:spacing w:after="0" w:line="27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color w:val="auto"/>
        </w:rPr>
      </w:pPr>
    </w:p>
    <w:p>
      <w:pPr>
        <w:ind w:left="660" w:right="80" w:hanging="328"/>
        <w:spacing w:after="0" w:line="243"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such investment opportunity. A significant decrease in the quality or quantity of potential opportunities could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hanging="328"/>
        <w:spacing w:after="0" w:line="24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clients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Impact of COVID-19</w:t>
      </w:r>
    </w:p>
    <w:p>
      <w:pPr>
        <w:spacing w:after="0" w:line="222"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231F20"/>
        </w:rPr>
        <w:t>In March 2020, the World Health Organization declared the outbreak of the novel coronavirus (“COVID-19”) a global pandemic. The spread of COVID-19 throughout the world has led many countries to institute a variety of measures in an effort to contain viral spread, which has led to significant disruption and uncertainty in the global financial markets. While some of the initial restrictions have been relaxed or lifted in an effort to generate more economic activity, the risk of future COVID-19 outbreaks remains and restrictions have been and may continue to be reimposed to mitigate risks to public health in jurisdictions where additional outbreaks have been detected. Moreover, even where restrictions are and remain lifted, the absence of viable treatment options or a vaccine could lead people to continue to self-isolate and not participate in the economy at pre-pandemic levels for a prolonged period of time, potentially further delaying global economic recovery.</w:t>
      </w:r>
    </w:p>
    <w:p>
      <w:pPr>
        <w:spacing w:after="0" w:line="16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231F20"/>
        </w:rPr>
        <w:t xml:space="preserve">We are closely monitoring developments related to COVID-19 and assessing any negative impacts to our business. The COVID-19 pandemic has affected, and may further affect, our business in various ways. In particular, it is possible that our future results may be adversely affected by slowdowns in fundraising activity and the pace of capital deployment, which could result in delayed or decreased management fees, or if fund managers are unable or less able to profitably exit existing investments, which could result in delayed or decreased performance fee revenues. The underlying investments in the StepStone Funds reflect valuations on a three-month lag, or as of June 30, 2020, adjusted for capital contributions and distributions during the three-month lag period ended September 30, 2020. For the six months ended September 30, 2020, our </w:t>
      </w:r>
      <w:r>
        <w:rPr>
          <w:rFonts w:ascii="Arial" w:cs="Arial" w:eastAsia="Arial" w:hAnsi="Arial"/>
          <w:sz w:val="18"/>
          <w:szCs w:val="18"/>
          <w:color w:val="000000"/>
        </w:rPr>
        <w:t>investments in StepStone Funds and accrued carried interest allocations initially experienced</w:t>
      </w:r>
      <w:r>
        <w:rPr>
          <w:rFonts w:ascii="Arial" w:cs="Arial" w:eastAsia="Arial" w:hAnsi="Arial"/>
          <w:sz w:val="18"/>
          <w:szCs w:val="18"/>
          <w:color w:val="231F20"/>
        </w:rPr>
        <w:t xml:space="preserve"> </w:t>
      </w:r>
      <w:r>
        <w:rPr>
          <w:rFonts w:ascii="Arial" w:cs="Arial" w:eastAsia="Arial" w:hAnsi="Arial"/>
          <w:sz w:val="18"/>
          <w:szCs w:val="18"/>
          <w:color w:val="000000"/>
        </w:rPr>
        <w:t xml:space="preserve">significant declines during the first three months, primarily reflecting the unrealized depreciation in the fair value of certain underlying fund investments driven by the impact of COVID-19, and in the next three months saw </w:t>
      </w:r>
      <w:r>
        <w:rPr>
          <w:rFonts w:ascii="Arial" w:cs="Arial" w:eastAsia="Arial" w:hAnsi="Arial"/>
          <w:sz w:val="18"/>
          <w:szCs w:val="18"/>
          <w:color w:val="231F20"/>
        </w:rPr>
        <w:t>significant increases, primarily reflecting the unrealized</w:t>
      </w:r>
      <w:r>
        <w:rPr>
          <w:rFonts w:ascii="Arial" w:cs="Arial" w:eastAsia="Arial" w:hAnsi="Arial"/>
          <w:sz w:val="18"/>
          <w:szCs w:val="18"/>
          <w:color w:val="000000"/>
        </w:rPr>
        <w:t xml:space="preserve"> </w:t>
      </w:r>
      <w:r>
        <w:rPr>
          <w:rFonts w:ascii="Arial" w:cs="Arial" w:eastAsia="Arial" w:hAnsi="Arial"/>
          <w:sz w:val="18"/>
          <w:szCs w:val="18"/>
          <w:color w:val="231F20"/>
        </w:rPr>
        <w:t>appreciation in the fair value of certain underlying fund investments driven by the general recovery in the financial markets.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 and Initial Public Offering</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65"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231F20"/>
        </w:rPr>
        <w:t>See note 1 to our condensed consolidated financial statements included elsewhere in this quarterly report for more information about the Reorganization and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Debt Repayment</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On September 18, 2020, we repaid in full the indebtedness outstanding on our senior secured term loan in the amount of $146.6 million and terminated the facility, including the senior secured revolving facility. In connection with the repayment, we wrote-off the unamortized debt issuance costs and discount of $3.5 million, which is included in interest expense in the condensed consolidated statements of income for the quarter ended September 30, 2020. As of September 30, 2020, we had no debt obligations outstanding.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Our key financial and operating measures are discussed below. Additional information regarding our significant accounting policies can be found in note 2 to our condensed consolidated financial statements included elsewhere in this quarterly report.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and data services, and portfolio analytics and reporting.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41" w:lineRule="exact"/>
        <w:rPr>
          <w:sz w:val="20"/>
          <w:szCs w:val="20"/>
          <w:color w:val="auto"/>
        </w:rPr>
      </w:pPr>
    </w:p>
    <w:p>
      <w:pPr>
        <w:ind w:left="660" w:right="320" w:hanging="328"/>
        <w:spacing w:after="0" w:line="278"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0.41% and 0.39% of average FEAUM for the twelve months ended September 30, 2019 and 2020, respectively, and primarily reflected shifts in asset class mix.</w:t>
      </w:r>
    </w:p>
    <w:p>
      <w:pPr>
        <w:spacing w:after="0" w:line="164" w:lineRule="exact"/>
        <w:rPr>
          <w:rFonts w:ascii="Arial" w:cs="Arial" w:eastAsia="Arial" w:hAnsi="Arial"/>
          <w:sz w:val="18"/>
          <w:szCs w:val="18"/>
          <w:color w:val="auto"/>
        </w:rPr>
      </w:pPr>
    </w:p>
    <w:p>
      <w:pPr>
        <w:ind w:left="660" w:hanging="328"/>
        <w:spacing w:after="0" w:line="243"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0.80% and 0.98% of average FEAUM for the twelve months ended September 30, 2019 and 2020, respectively, and primarily reflected the timing of new funds and shifts in asset class mix.</w:t>
      </w:r>
    </w:p>
    <w:p>
      <w:pPr>
        <w:spacing w:after="0" w:line="195"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0.51% and 0.53% of average FEAUM for the twelve months ended September 30, 2019 and 2020, respectively.</w:t>
      </w:r>
    </w:p>
    <w:p>
      <w:pPr>
        <w:spacing w:after="0" w:line="176" w:lineRule="exact"/>
        <w:rPr>
          <w:rFonts w:ascii="Arial" w:cs="Arial" w:eastAsia="Arial" w:hAnsi="Arial"/>
          <w:sz w:val="20"/>
          <w:szCs w:val="20"/>
          <w:color w:val="auto"/>
        </w:rPr>
      </w:pPr>
    </w:p>
    <w:p>
      <w:pPr>
        <w:ind w:left="660" w:right="260" w:hanging="328"/>
        <w:spacing w:after="0" w:line="244"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Fee revenues from advisory, SPAR or SPI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94"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9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As of September 30, 2020, we had approximately $38 billion of performance fee-eligible capital across approximately 120 programs, of which over 80 were in accrued carried interest positions.</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231F20"/>
        </w:rPr>
        <w:t xml:space="preserve">Incentive fees </w:t>
      </w:r>
      <w:r>
        <w:rPr>
          <w:rFonts w:ascii="Arial" w:cs="Arial" w:eastAsia="Arial" w:hAnsi="Arial"/>
          <w:sz w:val="19"/>
          <w:szCs w:val="19"/>
          <w:color w:val="231F20"/>
        </w:rPr>
        <w:t>are generally calculated as a percentage of the profits (up to 10%) earned in respect of certain accounts for which we</w:t>
      </w:r>
      <w:r>
        <w:rPr>
          <w:rFonts w:ascii="Arial" w:cs="Arial" w:eastAsia="Arial" w:hAnsi="Arial"/>
          <w:sz w:val="19"/>
          <w:szCs w:val="19"/>
          <w:i w:val="1"/>
          <w:iCs w:val="1"/>
          <w:color w:val="231F20"/>
        </w:rPr>
        <w:t xml:space="preserve"> </w:t>
      </w:r>
      <w:r>
        <w:rPr>
          <w:rFonts w:ascii="Arial" w:cs="Arial" w:eastAsia="Arial" w:hAnsi="Arial"/>
          <w:sz w:val="19"/>
          <w:szCs w:val="19"/>
          <w:color w:val="231F20"/>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1"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231F20"/>
        </w:rPr>
        <w:t>We recognize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40"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231F20"/>
        </w:rPr>
        <w:t xml:space="preserve">Carried interest allocations </w:t>
      </w:r>
      <w:r>
        <w:rPr>
          <w:rFonts w:ascii="Arial" w:cs="Arial" w:eastAsia="Arial" w:hAnsi="Arial"/>
          <w:sz w:val="20"/>
          <w:szCs w:val="20"/>
          <w:color w:val="231F20"/>
        </w:rPr>
        <w:t>include the allocation of performance-based fees to us from limited partners in the StepStone Funds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231F20"/>
        </w:rPr>
        <w:t>Revenue from Contracts</w:t>
      </w:r>
      <w:r>
        <w:rPr>
          <w:rFonts w:ascii="Arial" w:cs="Arial" w:eastAsia="Arial" w:hAnsi="Arial"/>
          <w:sz w:val="20"/>
          <w:szCs w:val="20"/>
          <w:color w:val="231F20"/>
        </w:rPr>
        <w:t xml:space="preserve"> </w:t>
      </w:r>
      <w:r>
        <w:rPr>
          <w:rFonts w:ascii="Arial" w:cs="Arial" w:eastAsia="Arial" w:hAnsi="Arial"/>
          <w:sz w:val="20"/>
          <w:szCs w:val="20"/>
          <w:i w:val="1"/>
          <w:iCs w:val="1"/>
          <w:color w:val="231F20"/>
        </w:rPr>
        <w:t>with Customers</w:t>
      </w:r>
      <w:r>
        <w:rPr>
          <w:rFonts w:ascii="Arial" w:cs="Arial" w:eastAsia="Arial" w:hAnsi="Arial"/>
          <w:sz w:val="20"/>
          <w:szCs w:val="20"/>
          <w:color w:val="231F20"/>
        </w:rPr>
        <w: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September 30, 2020 and March 31, 2020, no amounts for potential clawback obligations had been accrued.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ind w:right="6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entertainment,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i w:val="1"/>
          <w:iCs w:val="1"/>
          <w:color w:val="231F20"/>
        </w:rPr>
        <w:t xml:space="preserve">Investment income </w:t>
      </w:r>
      <w:r>
        <w:rPr>
          <w:rFonts w:ascii="Arial" w:cs="Arial" w:eastAsia="Arial" w:hAnsi="Arial"/>
          <w:sz w:val="19"/>
          <w:szCs w:val="19"/>
          <w:color w:val="231F20"/>
        </w:rPr>
        <w:t>primarily represents our share of earnings from the investments we make in our SMAs and focused commingled</w:t>
      </w:r>
      <w:r>
        <w:rPr>
          <w:rFonts w:ascii="Arial" w:cs="Arial" w:eastAsia="Arial" w:hAnsi="Arial"/>
          <w:sz w:val="19"/>
          <w:szCs w:val="19"/>
          <w:i w:val="1"/>
          <w:iCs w:val="1"/>
          <w:color w:val="231F20"/>
        </w:rPr>
        <w:t xml:space="preserve"> </w:t>
      </w:r>
      <w:r>
        <w:rPr>
          <w:rFonts w:ascii="Arial" w:cs="Arial" w:eastAsia="Arial" w:hAnsi="Arial"/>
          <w:sz w:val="19"/>
          <w:szCs w:val="19"/>
          <w:color w:val="231F20"/>
        </w:rPr>
        <w:t>funds. We, either directly or through our subsidiaries, generally have a general partner interest in the StepStone Funds, which invest in primary funds, secondary funds and co-investment funds, or a combination of investment types.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80"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231F20"/>
        </w:rPr>
        <w:t>Consequently, our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cash equivalents and marketable securities.</w:t>
      </w:r>
    </w:p>
    <w:p>
      <w:pPr>
        <w:spacing w:after="0" w:line="21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consists of the interest expense on our previously outstanding debt and related amortization of deferred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amortization of original issue discount. The quarter ended September 30, 2020 includes a $3.5 million charge related to the write-off of unamortized debt issuance costs and discount in connection with the full repayment of our outstanding debt balance.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net </w:t>
      </w:r>
      <w:r>
        <w:rPr>
          <w:rFonts w:ascii="Arial" w:cs="Arial" w:eastAsia="Arial" w:hAnsi="Arial"/>
          <w:sz w:val="20"/>
          <w:szCs w:val="20"/>
          <w:color w:val="auto"/>
        </w:rPr>
        <w:t>represents gains and losses associated with non-operating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231F20"/>
        </w:rPr>
        <w:t>We are a corporation for U.S. federal income tax purposes and therefore are subject to U.S. federal and state income taxes on our share of taxable income generated by the Partnership. Prior to the Reorganization and IPO, we operated as a partnership for U.S. federal income tax purposes and therefore were not subject to U.S. federal and state income taxes.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4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unitholders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Operating Metrics</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91"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 month lag, adjusted for new client account activity through the period end.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right="300" w:firstLine="648"/>
        <w:spacing w:after="0" w:line="291" w:lineRule="auto"/>
        <w:rPr>
          <w:sz w:val="20"/>
          <w:szCs w:val="20"/>
          <w:color w:val="auto"/>
        </w:rPr>
      </w:pPr>
      <w:r>
        <w:rPr>
          <w:rFonts w:ascii="Arial" w:cs="Arial" w:eastAsia="Arial" w:hAnsi="Arial"/>
          <w:sz w:val="18"/>
          <w:szCs w:val="18"/>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and as this capital is invested or activated, will generate management fee revenue.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4" w:name="page45"/>
    <w:bookmarkEnd w:id="44"/>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is income before taxes fully taxed at our blended statutory effective tax rate. We believe ANI and adjusted revenues are useful to investors because they enable investors to evaluate the performance of our business across reporting periods.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220" w:firstLine="648"/>
        <w:spacing w:after="0" w:line="269" w:lineRule="auto"/>
        <w:rPr>
          <w:sz w:val="20"/>
          <w:szCs w:val="20"/>
          <w:color w:val="auto"/>
        </w:rPr>
      </w:pPr>
      <w:r>
        <w:rPr>
          <w:rFonts w:ascii="Arial" w:cs="Arial" w:eastAsia="Arial" w:hAnsi="Arial"/>
          <w:sz w:val="19"/>
          <w:szCs w:val="19"/>
          <w:color w:val="auto"/>
        </w:rPr>
        <w:t>ANI per share measures our per-share earnings assuming all Class B units in the Partnership were exchanged for Class A common stock in SSG.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580" w:firstLine="648"/>
        <w:spacing w:after="0" w:line="316" w:lineRule="auto"/>
        <w:rPr>
          <w:sz w:val="20"/>
          <w:szCs w:val="20"/>
          <w:color w:val="auto"/>
        </w:rPr>
      </w:pPr>
      <w:r>
        <w:rPr>
          <w:rFonts w:ascii="Arial" w:cs="Arial" w:eastAsia="Arial" w:hAnsi="Arial"/>
          <w:sz w:val="18"/>
          <w:szCs w:val="18"/>
          <w:color w:val="auto"/>
        </w:rPr>
        <w:t>The following is a discussion of our unaudited consolidated results of operations for the periods presented. This information is derived from our accompanying condensed consolidated financial statements prepared in accordance with GAAP.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1"/>
              </w:rPr>
              <w:t>Six Months Ended September 30,</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Management and advisory fees, net</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75,652</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53,793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139,152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104,761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Carried interest allocation: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720"/>
              <w:spacing w:after="0"/>
              <w:rPr>
                <w:sz w:val="20"/>
                <w:szCs w:val="20"/>
                <w:color w:val="auto"/>
              </w:rPr>
            </w:pPr>
            <w:r>
              <w:rPr>
                <w:rFonts w:ascii="Arial" w:cs="Arial" w:eastAsia="Arial" w:hAnsi="Arial"/>
                <w:sz w:val="18"/>
                <w:szCs w:val="18"/>
                <w:color w:val="auto"/>
              </w:rPr>
              <w:t>Realized allocation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allocation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carried interest allocation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166,065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124,293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242,913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131,872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231,451</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00"/>
              <w:spacing w:after="0"/>
              <w:rPr>
                <w:sz w:val="20"/>
                <w:szCs w:val="20"/>
                <w:color w:val="auto"/>
              </w:rPr>
            </w:pPr>
            <w:r>
              <w:rPr>
                <w:rFonts w:ascii="Arial" w:cs="Arial" w:eastAsia="Arial" w:hAnsi="Arial"/>
                <w:sz w:val="18"/>
                <w:szCs w:val="18"/>
                <w:color w:val="auto"/>
              </w:rPr>
              <w:t>Cash-based compensation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30,927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77,126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5700" w:type="dxa"/>
            <w:vAlign w:val="bottom"/>
          </w:tcPr>
          <w:p>
            <w:pPr>
              <w:ind w:left="400"/>
              <w:spacing w:after="0"/>
              <w:rPr>
                <w:sz w:val="20"/>
                <w:szCs w:val="20"/>
                <w:color w:val="auto"/>
              </w:rPr>
            </w:pPr>
            <w:r>
              <w:rPr>
                <w:rFonts w:ascii="Arial" w:cs="Arial" w:eastAsia="Arial" w:hAnsi="Arial"/>
                <w:sz w:val="18"/>
                <w:szCs w:val="18"/>
                <w:color w:val="auto"/>
              </w:rPr>
              <w:t>Performance fee-related compensation: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Realized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Unrealized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performance fee-related compensation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40,178</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64,709</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126,254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132,883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84,343</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117,531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151,344</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79,046</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77,369</w:t>
            </w:r>
          </w:p>
        </w:tc>
        <w:tc>
          <w:tcPr>
            <w:tcW w:w="0" w:type="dxa"/>
            <w:vAlign w:val="bottom"/>
          </w:tcPr>
          <w:p>
            <w:pPr>
              <w:spacing w:after="0"/>
              <w:rPr>
                <w:sz w:val="1"/>
                <w:szCs w:val="1"/>
                <w:color w:val="auto"/>
              </w:rPr>
            </w:pPr>
          </w:p>
        </w:tc>
      </w:tr>
      <w:tr>
        <w:trPr>
          <w:trHeight w:val="230"/>
        </w:trPr>
        <w:tc>
          <w:tcPr>
            <w:tcW w:w="5700" w:type="dxa"/>
            <w:vAlign w:val="bottom"/>
          </w:tcPr>
          <w:p>
            <w:pPr>
              <w:ind w:left="400"/>
              <w:spacing w:after="0"/>
              <w:rPr>
                <w:sz w:val="20"/>
                <w:szCs w:val="20"/>
                <w:color w:val="auto"/>
              </w:rPr>
            </w:pPr>
            <w:r>
              <w:rPr>
                <w:rFonts w:ascii="Arial" w:cs="Arial" w:eastAsia="Arial" w:hAnsi="Arial"/>
                <w:sz w:val="18"/>
                <w:szCs w:val="18"/>
                <w:color w:val="auto"/>
                <w:w w:val="92"/>
              </w:rPr>
              <w:t>Less: Net income attributable to non-controlling interests in subsidiaries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Less: Net income attributable to non-controlling interests in the</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100,114</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44,365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43,661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72,883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Partnership</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line="223" w:lineRule="exact"/>
              <w:rPr>
                <w:sz w:val="20"/>
                <w:szCs w:val="20"/>
                <w:color w:val="auto"/>
              </w:rPr>
            </w:pPr>
            <w:r>
              <w:rPr>
                <w:rFonts w:ascii="Arial" w:cs="Arial" w:eastAsia="Arial" w:hAnsi="Arial"/>
                <w:sz w:val="18"/>
                <w:szCs w:val="18"/>
                <w:color w:val="auto"/>
              </w:rPr>
              <w:t>Net loss attributable to StepStone Group Inc.</w:t>
            </w:r>
            <w:r>
              <w:rPr>
                <w:rFonts w:ascii="Arial" w:cs="Arial" w:eastAsia="Arial" w:hAnsi="Arial"/>
                <w:sz w:val="23"/>
                <w:szCs w:val="23"/>
                <w:color w:val="auto"/>
                <w:vertAlign w:val="superscript"/>
              </w:rPr>
              <w:t>(1)</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20" w:hanging="652"/>
        <w:spacing w:after="0" w:line="302" w:lineRule="auto"/>
        <w:tabs>
          <w:tab w:leader="none" w:pos="6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period following the Reorganization and IPO, from September 16, 2020 to September 30, 2020, as described in note 1 to our condensed consolidated financial statements included elsewhere in this quarterly report. The net loss reflects SSG’s portion of the write-off of $3.5 million in deferred debt issuance costs after the IPO in connection with the full repayment of the previously outstanding senior secured term loan.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2020 Compared to Three Months Ended September 30, 2019</w:t>
      </w:r>
    </w:p>
    <w:p>
      <w:pPr>
        <w:spacing w:after="0" w:line="216" w:lineRule="exact"/>
        <w:rPr>
          <w:sz w:val="20"/>
          <w:szCs w:val="20"/>
          <w:color w:val="auto"/>
        </w:rPr>
      </w:pPr>
    </w:p>
    <w:p>
      <w:pPr>
        <w:jc w:val="both"/>
        <w:ind w:right="180" w:firstLine="648"/>
        <w:spacing w:after="0" w:line="385" w:lineRule="auto"/>
        <w:rPr>
          <w:sz w:val="20"/>
          <w:szCs w:val="20"/>
          <w:color w:val="auto"/>
        </w:rPr>
      </w:pPr>
      <w:r>
        <w:rPr>
          <w:rFonts w:ascii="Arial" w:cs="Arial" w:eastAsia="Arial" w:hAnsi="Arial"/>
          <w:sz w:val="16"/>
          <w:szCs w:val="16"/>
          <w:color w:val="auto"/>
        </w:rPr>
        <w:t>Total revenues increased $111.0 million, or 84%, to $242.9 million for the three months ended September 30, 2020 as compared to the three months ended September 30, 2019, due to higher carried interest allocation, net management and advisory fees and incentive fees.</w:t>
      </w:r>
    </w:p>
    <w:p>
      <w:pPr>
        <w:spacing w:after="0" w:line="85"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Net management and advisory fees increased $21.9 million, or 41%, to $75.7 million for the three months ended September 30, 2020 as compared to the three months ended September 30, 2019. The increase was driven by new client activity and a 22% growth in FEAUM across the platform, including retroactive fees of $9.0 million from StepStone Real Estate Partners IV (“SREP IV”), which had its final close in September 2020, and $3.9 million from StepStone Secondary Opportunities Fund IV (“SSOF IV”), for which fees were initiated in September 2019. These increases were partially offset by a $0.2 million decline in revenues associated with liquidating portfolios for which we serve as the replacement manager.</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Incentive fees increased $0.4 million, or 54%, to $1.2 million for the three months ended September 30, 2020 as compared to the three months ended September 30, 2019.</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Realized carried interest allocation revenues decreased $2.5 million, or 23%, to $8.6 million for the three months ended September 30, 2020 as compared to the three months ended September 30, 2019, reflecting lower realization activity within our private equity funds. Unrealized carried interest allocation revenues include the reversal of realized carried interest allocation revenues. Excluding the reversal, unrealized carried interest allocation revenues increased $88.8 million, or 115%, to $166.1 million for the three months ended September 30, 2020 as compared to the three months ended September 30, 2019, primarily reflecting a larger increase in the cumulative allocation of gains associated with the underlying portfolios within our private equity funds driven by the general recovery in the financial markets following the initial impact of COVID-19.</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2020 Compared to Six Months Ended September 30, 2019</w:t>
      </w:r>
    </w:p>
    <w:p>
      <w:pPr>
        <w:spacing w:after="0" w:line="216"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Total revenues decreased $50.0 million, or 22%, to $181.5 million for the six months ended September 30, 2020 as compared to the six months ended September 30, 2019, due to lower carried interest allocation, partially offset by higher net management and advisory fees and incentive fees.</w:t>
      </w:r>
    </w:p>
    <w:p>
      <w:pPr>
        <w:spacing w:after="0" w:line="186"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19"/>
          <w:szCs w:val="19"/>
          <w:color w:val="auto"/>
        </w:rPr>
        <w:t>Net management and advisory fees increased $34.4 million, or 33%, to $139.2 million for the six months ended September 30, 2020 as compared to the six months ended September 30, 2019. This increase was driven by new client activity and growth in FEAUM across the platform, including retroactive fees of $9.0 million from SREP IV, which had its final close in September 2020, and $8.7 million from SSOF IV, for which fees were initiated in September 2019. The increases were partially offset by a $0.6 million decline in revenues associated with liquidating portfolios for which StepStone serves as the replacement manager.</w:t>
      </w:r>
    </w:p>
    <w:p>
      <w:pPr>
        <w:spacing w:after="0" w:line="180"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Incentive fees increased $2.4 million, or 100%, to $4.8 million for the six months ended September 30, 2020 as compared to the six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1"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Realized carried interest allocation revenues decreased $11.8 million, or 49%, to $12.2 million for the six months ended September 30, 2020 as compared to the six months ended September 30, 2019, reflecting lower realization activity within our private equity funds. Unrealized carried interest allocation revenues include the reversal of realized carried interest allocation revenues. Excluding the reversal, unrealized carried interest allocation revenues decreased $86.7 million, or 70%, to $37.6 million for the six months ended September 30, 2020 as compared to the six months ended September 30, 2019. The decrease in unrealized carried interest allocation for the six months ended September 30, 2020 was primarily attributable to unrealized depreciation in the fair value of certain underlying fund investments driven by the impact of COVID-19 within our private equity funds.</w:t>
      </w:r>
    </w:p>
    <w:p>
      <w:pPr>
        <w:spacing w:after="0" w:line="168"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For the six months ended September 30, 2020, our investments in StepStone Funds and accrued carried interest allocations initially experienced a $128.5 million decline during the first three months, primarily reflecting the unrealized depreciation in the fair value of certain underlying fund investments driven by the impact of COVID-19, and in the next three months saw a significant increase of $166.1 million, primarily reflecting the unrealized appreciation in the fair value of certain underlying fund investments driven by the general recovery in the financial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2020 Compared to Three Months Ended September 30, 2019</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Total expenses increased $48.5 million, or 58%, to $132.9 million for the three months ended September 30, 2020 as compared to the three months ended September 30, 2019, reflecting increases in performance fee-related compensation and cash-based compensation, partially offset by decreases in general, administrative and other expenses.</w:t>
      </w:r>
    </w:p>
    <w:p>
      <w:pPr>
        <w:spacing w:after="0" w:line="186" w:lineRule="exact"/>
        <w:rPr>
          <w:sz w:val="20"/>
          <w:szCs w:val="20"/>
          <w:color w:val="auto"/>
        </w:rPr>
      </w:pPr>
    </w:p>
    <w:p>
      <w:pPr>
        <w:jc w:val="both"/>
        <w:ind w:right="620" w:firstLine="648"/>
        <w:spacing w:after="0" w:line="250" w:lineRule="auto"/>
        <w:rPr>
          <w:sz w:val="20"/>
          <w:szCs w:val="20"/>
          <w:color w:val="auto"/>
        </w:rPr>
      </w:pPr>
      <w:r>
        <w:rPr>
          <w:rFonts w:ascii="Arial" w:cs="Arial" w:eastAsia="Arial" w:hAnsi="Arial"/>
          <w:sz w:val="20"/>
          <w:szCs w:val="20"/>
          <w:color w:val="auto"/>
        </w:rPr>
        <w:t>Cash-based compensation increased $6.5 million, or 21%, to $37.5 million for the three months ended September 30, 2020 as compared to the three months ended September 30, 2019, due to increased staffing and compensation levels. Our full-time headcount increased 16% from September 30, 2019 to September 30, 2020.</w:t>
      </w:r>
    </w:p>
    <w:p>
      <w:pPr>
        <w:spacing w:after="0" w:line="18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Equity-based compensation increased $0.5 million, or 100%, to $1.0 million for the three months ended September 30, 2020 as compared to the three months ended September 30, 2019. The increase was attributable to the grant of restricted stock units (“RSUs”) made to certain employees and directors in connection with our IPO in September 2020.</w:t>
      </w:r>
    </w:p>
    <w:p>
      <w:pPr>
        <w:spacing w:after="0" w:line="186" w:lineRule="exact"/>
        <w:rPr>
          <w:sz w:val="20"/>
          <w:szCs w:val="20"/>
          <w:color w:val="auto"/>
        </w:rPr>
      </w:pPr>
    </w:p>
    <w:p>
      <w:pPr>
        <w:ind w:right="440" w:firstLine="648"/>
        <w:spacing w:after="0" w:line="267" w:lineRule="auto"/>
        <w:rPr>
          <w:sz w:val="20"/>
          <w:szCs w:val="20"/>
          <w:color w:val="auto"/>
        </w:rPr>
      </w:pPr>
      <w:r>
        <w:rPr>
          <w:rFonts w:ascii="Arial" w:cs="Arial" w:eastAsia="Arial" w:hAnsi="Arial"/>
          <w:sz w:val="18"/>
          <w:szCs w:val="18"/>
          <w:color w:val="auto"/>
        </w:rPr>
        <w:t>Performance fee-related compensation expense increased $43.2 million, or 107%, to $83.3 million for the three months ended September 30, 2020 as compared to the three months ended September 30, 2019, primarily reflecting the increase in carried interest allocation revenue. Realized performance fee-related compensation decreased $1.6 million, or 25%, to $4.8 million for the three months ended September 30, 2020 as compared to the three months ended September 30, 2019, reflecting lower realization activity.</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General, administrative and other expenses decreased $1.6 million, or 13%, to $11.1 million for the three months ended September 30, 2020 as compared to the three months ended September 30, 2019. The decrease primarily reflected declines of $1.6 million in travel and associated costs for investment evaluation and client service, $0.5 million in amortization expense for intangibles, $0.4 million in transaction-related expenses, and other general operating expenses. These decreases were partially offset by an increase of $0.6 million in professional fees and $0.5 million in insurance costs.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2020 Compared to Six Months Ended September 30, 2019</w:t>
      </w:r>
    </w:p>
    <w:p>
      <w:pPr>
        <w:spacing w:after="0" w:line="21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Total expenses decreased $33.8 million, or 22%, to $117.5 million for the six months ended September 30, 2020 as compared to the six months ended September 30, 2019, due to decreases in performance fee-related compensation and general, administrative and other expenses, partially offset by increases in cash-based compensation.</w:t>
      </w:r>
    </w:p>
    <w:p>
      <w:pPr>
        <w:spacing w:after="0" w:line="186" w:lineRule="exact"/>
        <w:rPr>
          <w:sz w:val="20"/>
          <w:szCs w:val="20"/>
          <w:color w:val="auto"/>
        </w:rPr>
      </w:pPr>
    </w:p>
    <w:p>
      <w:pPr>
        <w:jc w:val="both"/>
        <w:ind w:right="680" w:firstLine="648"/>
        <w:spacing w:after="0" w:line="269" w:lineRule="auto"/>
        <w:rPr>
          <w:sz w:val="20"/>
          <w:szCs w:val="20"/>
          <w:color w:val="auto"/>
        </w:rPr>
      </w:pPr>
      <w:r>
        <w:rPr>
          <w:rFonts w:ascii="Arial" w:cs="Arial" w:eastAsia="Arial" w:hAnsi="Arial"/>
          <w:sz w:val="19"/>
          <w:szCs w:val="19"/>
          <w:color w:val="auto"/>
        </w:rPr>
        <w:t>Cash-based compensation increased $16.5 million, or 27%, to $77.1 million for the six months ended September 30, 2020 as compared to the six months ended September 30, 2019, due to increased staffing and compensation levels, as well as $4.1 million in severance costs. Our full-time headcount increased 16% from September 30, 2019 to September 30, 2020.</w:t>
      </w:r>
    </w:p>
    <w:p>
      <w:pPr>
        <w:spacing w:after="0" w:line="170" w:lineRule="exact"/>
        <w:rPr>
          <w:sz w:val="20"/>
          <w:szCs w:val="20"/>
          <w:color w:val="auto"/>
        </w:rPr>
      </w:pPr>
    </w:p>
    <w:p>
      <w:pPr>
        <w:ind w:right="280" w:firstLine="648"/>
        <w:spacing w:after="0" w:line="250" w:lineRule="auto"/>
        <w:rPr>
          <w:sz w:val="20"/>
          <w:szCs w:val="20"/>
          <w:color w:val="auto"/>
        </w:rPr>
      </w:pPr>
      <w:r>
        <w:rPr>
          <w:rFonts w:ascii="Arial" w:cs="Arial" w:eastAsia="Arial" w:hAnsi="Arial"/>
          <w:sz w:val="20"/>
          <w:szCs w:val="20"/>
          <w:color w:val="auto"/>
        </w:rPr>
        <w:t>Equity-based compensation increased $0.5 million, or 51%, to $1.4 million for the six months ended September 30, 2020 as compared to the six months ended September 30, 2019. The increase was attributable to the grant of RSUs made to certain employees and directors in connection with our IPO in September 2020.</w:t>
      </w:r>
    </w:p>
    <w:p>
      <w:pPr>
        <w:spacing w:after="0" w:line="186" w:lineRule="exact"/>
        <w:rPr>
          <w:sz w:val="20"/>
          <w:szCs w:val="20"/>
          <w:color w:val="auto"/>
        </w:rPr>
      </w:pPr>
    </w:p>
    <w:p>
      <w:pPr>
        <w:ind w:firstLine="648"/>
        <w:spacing w:after="0" w:line="248" w:lineRule="auto"/>
        <w:rPr>
          <w:sz w:val="20"/>
          <w:szCs w:val="20"/>
          <w:color w:val="auto"/>
        </w:rPr>
      </w:pPr>
      <w:r>
        <w:rPr>
          <w:rFonts w:ascii="Arial" w:cs="Arial" w:eastAsia="Arial" w:hAnsi="Arial"/>
          <w:sz w:val="19"/>
          <w:szCs w:val="19"/>
          <w:color w:val="auto"/>
        </w:rPr>
        <w:t>Performance fee-related compensation expense decreased $47.1 million, or 73%, to $17.6 million for the six months ended September 30, 2020 as compared to the six months ended September 30, 2019, primarily reflecting the decrease in carried interest allocation revenue. Realized performance fee-related compensation decreased $6.5 million, or 46%, to $7.7 million for the six months ended September 30, 2020 as compared to the six months ended September 30, 2019, reflecting lower realization activity.</w:t>
      </w:r>
    </w:p>
    <w:p>
      <w:pPr>
        <w:spacing w:after="0" w:line="177"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General, administrative and other expenses decreased $3.7 million, or 15%, to $21.4 million for the six months ended September 30, 2020 as compared to the six months ended September 30, 2019. The decrease primarily reflected declines of $3.3 million in travel and associated costs for investment evaluation and client service, $1.0 million in transaction related fees, $1.0 million in amortization expense for intangibles, and other general operating expenses, partially offset by an increase of $1.3 million in legal and professional fees and $0.6 million in insurance costs.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2020 Compared to Three Months Ended September 30, 2019</w:t>
      </w:r>
    </w:p>
    <w:p>
      <w:pPr>
        <w:spacing w:after="0" w:line="21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Investment income increased $2.4 million, or 122%, to $4.3 million for the three months ended September 30, 2020 as compared to the three months ended September 30, 2019, primarily reflecting overall changes in the valuations of the underlying investments in the StepStone Funds.</w:t>
      </w:r>
    </w:p>
    <w:p>
      <w:pPr>
        <w:spacing w:after="0" w:line="18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Interest income decreased $0.2 million, or 59%, to $0.2 million for the three months ended September 30, 2020 as compared to the three months ended September 30, 2019.</w:t>
      </w:r>
    </w:p>
    <w:p>
      <w:pPr>
        <w:spacing w:after="0" w:line="177" w:lineRule="exact"/>
        <w:rPr>
          <w:sz w:val="20"/>
          <w:szCs w:val="20"/>
          <w:color w:val="auto"/>
        </w:rPr>
      </w:pPr>
    </w:p>
    <w:p>
      <w:pPr>
        <w:jc w:val="both"/>
        <w:ind w:right="80" w:firstLine="648"/>
        <w:spacing w:after="0" w:line="306" w:lineRule="auto"/>
        <w:rPr>
          <w:sz w:val="20"/>
          <w:szCs w:val="20"/>
          <w:color w:val="auto"/>
        </w:rPr>
      </w:pPr>
      <w:r>
        <w:rPr>
          <w:rFonts w:ascii="Arial" w:cs="Arial" w:eastAsia="Arial" w:hAnsi="Arial"/>
          <w:sz w:val="16"/>
          <w:szCs w:val="16"/>
          <w:color w:val="auto"/>
        </w:rPr>
        <w:t>Interest expense increased $2.7 million, or 105%, to $5.3 million for the three months ended September 30, 2020 as compared to the three months ended September 30, 2019. The increase was primarily due to the write-off of $3.5 million in unamortized debt issuance costs and discount with the full repayment of our previously outstanding senior secured term loan (“Term Loan B”) in connection with the IPO.</w:t>
      </w:r>
    </w:p>
    <w:p>
      <w:pPr>
        <w:spacing w:after="0" w:line="1"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This increase was partially offset by a decrease due to changes in interest rates on average outstanding debt balances for the three months ended September 30, 2020 as compared to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2020 Compared to Six Months Ended September 30, 2019</w:t>
      </w:r>
    </w:p>
    <w:p>
      <w:pPr>
        <w:spacing w:after="0" w:line="216"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Investment income decreased $2.1 million, or 64%, to $1.1 million for the six months ended September 30, 2020 as compared to the six months ended September 30, 2019, primarily reflecting overall changes in the valuations of the underlying investments in the StepStone Funds.</w:t>
      </w:r>
    </w:p>
    <w:p>
      <w:pPr>
        <w:spacing w:after="0" w:line="186"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20"/>
          <w:szCs w:val="20"/>
          <w:color w:val="auto"/>
        </w:rPr>
        <w:t>Interest income decreased $0.5 million, or 65%, to $0.3 million for the six months ended September 30, 2020 as compared to the six months ended September 30, 2019.</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Interest expense increased $2.0 million, or 38%, to $7.3 million for the six months ended September 30, 2020 as compared to the six months ended September 30, 2019. The increase was primarily due to the write-off of $3.5 million in unamortized debt issuance costs and discount with the full repayment of our previously outstanding Term Loan B in connection with the IPO. This increase was partially offset by a decrease due to changes in interest rates on average outstanding debt balances for the six months ended September 30, 2020 as compared to the six months ended September 30, 2019.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Income tax expense primarily reflects U.S. federal and state income taxes on our share of taxable income generated by the Partnership, as well as local and foreign income taxes of certain of the Partnership’s subsidiaries. Prior to the Reorganization and IPO, income tax expense consisted of local income taxes and foreign income taxes for subsidiaries that have operations outside of the United States as the Partnership is treated as a flow-through entity and is not subject to federal income taxes.</w:t>
      </w:r>
    </w:p>
    <w:p>
      <w:pPr>
        <w:spacing w:after="0" w:line="16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Our effective income tax rate was 0.8% and 2.2% for the three months ended September 30, 2020 and 2019, respectively, and 3.5% and 2.1% for the six months ended September 30, 2020 and 2019, respectively. Our overall effective tax rate is less than the statutory rate primarily because (a) we were not subject to U.S. federal taxes prior to the Reorganization and IPO and (b) a portion of income is allocated to non-controlling interests, and the tax liability on such income is borne by the holders of such non-controlling interests.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2020 Compared to Three Months Ended September 30, 2019</w:t>
      </w:r>
    </w:p>
    <w:p>
      <w:pPr>
        <w:spacing w:after="0" w:line="216" w:lineRule="exact"/>
        <w:rPr>
          <w:sz w:val="20"/>
          <w:szCs w:val="20"/>
          <w:color w:val="auto"/>
        </w:rPr>
      </w:pPr>
    </w:p>
    <w:p>
      <w:pPr>
        <w:jc w:val="both"/>
        <w:ind w:right="120" w:firstLine="648"/>
        <w:spacing w:after="0" w:line="291" w:lineRule="auto"/>
        <w:rPr>
          <w:sz w:val="20"/>
          <w:szCs w:val="20"/>
          <w:color w:val="auto"/>
        </w:rPr>
      </w:pPr>
      <w:r>
        <w:rPr>
          <w:rFonts w:ascii="Arial" w:cs="Arial" w:eastAsia="Arial" w:hAnsi="Arial"/>
          <w:sz w:val="18"/>
          <w:szCs w:val="18"/>
          <w:color w:val="auto"/>
        </w:rPr>
        <w:t>Income tax expense decreased $0.2 million, or 16%, to $0.9 million for the three months ended September 30, 2020 as compared to the three months ended September 30, 2019. The decrease was primarily related to a general decrease in taxes paid in non-U.S. subsidiaries. The impact of U.S. federal and state income taxes in the period after the Reorganization and IPO was not material.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2020 Compared to Six Months Ended September 30, 2019</w:t>
      </w:r>
    </w:p>
    <w:p>
      <w:pPr>
        <w:spacing w:after="0" w:line="216"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Income tax expense increased $0.4 million, or 22%, to $2.0 million for the six months ended September 30, 2020 as compared to the six months ended September 30, 2019. The increase was primarily related to a general increase in taxes paid in non-U.S. subsidiaries. The impact of U.S. federal and state income taxes in the period after the Reorganization and IPO was not material.</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$7.1 million, or 353%, to $9.0 million for the three months ended September 30, 2020 as compared to the three months ended September 30, 2019. The increase was primarily attributable to an increase in income generated by our consolidated subsidiaries not wholly-owned by us.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1"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$8.7 million, or 193%, to $13.1 million for the six months ended September 30, 2020 as compared to the six months ended September 30, 2019. The increase was primarily attributable to an increase in income generated by our consolidated subsidiaries not wholly-owned by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the Partnership</w:t>
      </w:r>
    </w:p>
    <w:p>
      <w:pPr>
        <w:spacing w:after="0" w:line="222" w:lineRule="exact"/>
        <w:rPr>
          <w:sz w:val="20"/>
          <w:szCs w:val="20"/>
          <w:color w:val="auto"/>
        </w:rPr>
      </w:pPr>
    </w:p>
    <w:p>
      <w:pPr>
        <w:ind w:right="160" w:firstLine="648"/>
        <w:spacing w:after="0" w:line="244" w:lineRule="auto"/>
        <w:rPr>
          <w:sz w:val="20"/>
          <w:szCs w:val="20"/>
          <w:color w:val="auto"/>
        </w:rPr>
      </w:pPr>
      <w:r>
        <w:rPr>
          <w:rFonts w:ascii="Arial" w:cs="Arial" w:eastAsia="Arial" w:hAnsi="Arial"/>
          <w:sz w:val="20"/>
          <w:szCs w:val="20"/>
          <w:color w:val="auto"/>
        </w:rPr>
        <w:t>Net income attributable to non-controlling interests in the Partnership represents the portion of net income or loss attributable to the interests held by the Class B unitholders of the Partnership subsequent to the Reorganization and IPO. Net income attributable to non-controlling interests in the Partnership was $100.1 million and $43.7 million for the three and six months ended September 30, 2020, respectively. Prior to the Reorganization and IPO, all of our income or loss relates to the Partnership and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AUM was $67 billion as of March 31, 2020, $66 billion as of June 30, 2020 and $72 billion as of September 30,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Assets related to our advisory accounts were $229 billion as of March 31, 2020, $226 billion as of June 30, 2020 and $241 billion as of September 30,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FEAUM increased $2.6 billion, or 6%, to $44.3 billion as of September 30, 2020 as compared to $41.7 billion as of June 30, 2020.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the increase, $1.8 billion was from SMAs and $0.8 billion was from focused commingled funds.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FEAUM increased $3.1 billion, or 8%, to $44.3 billion as of September 30, 2020 as compared to $41.2 billion as of March 31, 2020.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the increase, $2.3 billion was from SMAs and $0.8 billion was from focused commingled funds.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0"/>
              </w:rPr>
              <w:t>Three Months Ended September 30, 2020</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9"/>
              </w:rPr>
              <w:t>Six Months Ended September 30, 2020</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41,736</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w w:val="94"/>
              </w:rPr>
              <w:t>Market value, FX and other</w:t>
            </w:r>
            <w:r>
              <w:rPr>
                <w:rFonts w:ascii="Arial" w:cs="Arial" w:eastAsia="Arial" w:hAnsi="Arial"/>
                <w:sz w:val="23"/>
                <w:szCs w:val="23"/>
                <w:color w:val="auto"/>
                <w:w w:val="94"/>
                <w:vertAlign w:val="superscript"/>
              </w:rPr>
              <w:t>(3)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60" w:right="300" w:hanging="652"/>
        <w:spacing w:after="0" w:line="260"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Distributions consist of returns of capital from funds and accounts that pay fees on net invested capital or NAV.</w:t>
      </w:r>
    </w:p>
    <w:p>
      <w:pPr>
        <w:spacing w:after="0" w:line="23" w:lineRule="exact"/>
        <w:rPr>
          <w:rFonts w:ascii="Arial" w:cs="Arial" w:eastAsia="Arial" w:hAnsi="Arial"/>
          <w:sz w:val="18"/>
          <w:szCs w:val="18"/>
          <w:color w:val="auto"/>
        </w:rPr>
      </w:pPr>
    </w:p>
    <w:p>
      <w:pPr>
        <w:ind w:left="660" w:right="160" w:hanging="652"/>
        <w:spacing w:after="0" w:line="255"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the effect of foreign exchange rate changes on non-U.S. dollar denominated commitments, and reductions in fee-earning AUM from funds that moved from a committed capital to net invested capital fee basis or from funds and accounts that no longer pay fees.</w:t>
      </w:r>
    </w:p>
    <w:p>
      <w:pPr>
        <w:spacing w:after="0" w:line="1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September 30, 2020</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2020</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2019</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FEAUM</w:t>
            </w: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19,929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17,718</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Private debt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23"/>
        </w:trPr>
        <w:tc>
          <w:tcPr>
            <w:tcW w:w="6060" w:type="dxa"/>
            <w:vAlign w:val="bottom"/>
          </w:tcPr>
          <w:p>
            <w:pPr>
              <w:ind w:left="46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36,232</w:t>
            </w:r>
          </w:p>
        </w:tc>
      </w:tr>
      <w:tr>
        <w:trPr>
          <w:trHeight w:val="21"/>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2020</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2020</w:t>
            </w: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September 30, 2019</w:t>
            </w:r>
          </w:p>
        </w:tc>
      </w:tr>
      <w:tr>
        <w:trPr>
          <w:trHeight w:val="210"/>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0.61 %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All other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0.40 %</w:t>
            </w:r>
          </w:p>
        </w:tc>
      </w:tr>
      <w:tr>
        <w:trPr>
          <w:trHeight w:val="223"/>
        </w:trPr>
        <w:tc>
          <w:tcPr>
            <w:tcW w:w="582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shifts in asset class mix.</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As of September 30, 2020, we had $16.4 billion of undeployed fee-earning capital on which we will earn fees once deployed or activated.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5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0"/>
                <w:szCs w:val="20"/>
                <w:color w:val="auto"/>
              </w:rPr>
            </w:pPr>
          </w:p>
        </w:tc>
        <w:tc>
          <w:tcPr>
            <w:tcW w:w="3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6"/>
              </w:rPr>
              <w:t>Six Months Ended September 30,</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Cash-based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Fee-related earnings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28,164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Realized carried interest allocations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23,959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Incentive fees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Deferred incentive fees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Write-off of unamortized deferred financing</w:t>
            </w:r>
          </w:p>
        </w:tc>
        <w:tc>
          <w:tcPr>
            <w:tcW w:w="2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costs</w:t>
            </w:r>
          </w:p>
        </w:tc>
        <w:tc>
          <w:tcPr>
            <w:tcW w:w="2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400"/>
              <w:spacing w:after="0" w:line="176" w:lineRule="exact"/>
              <w:rPr>
                <w:sz w:val="20"/>
                <w:szCs w:val="20"/>
                <w:color w:val="auto"/>
              </w:rPr>
            </w:pPr>
            <w:r>
              <w:rPr>
                <w:rFonts w:ascii="Arial" w:cs="Arial" w:eastAsia="Arial" w:hAnsi="Arial"/>
                <w:sz w:val="18"/>
                <w:szCs w:val="18"/>
                <w:color w:val="auto"/>
                <w:w w:val="92"/>
              </w:rPr>
              <w:t>Unrealized investment income (loss) attributable</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980" w:type="dxa"/>
            <w:vAlign w:val="bottom"/>
          </w:tcPr>
          <w:p>
            <w:pPr>
              <w:ind w:left="600"/>
              <w:spacing w:after="0"/>
              <w:rPr>
                <w:sz w:val="20"/>
                <w:szCs w:val="20"/>
                <w:color w:val="auto"/>
              </w:rPr>
            </w:pPr>
            <w:r>
              <w:rPr>
                <w:rFonts w:ascii="Arial" w:cs="Arial" w:eastAsia="Arial" w:hAnsi="Arial"/>
                <w:sz w:val="18"/>
                <w:szCs w:val="18"/>
                <w:color w:val="auto"/>
              </w:rPr>
              <w:t>to non-controlling interests in subsidiaries</w:t>
            </w:r>
          </w:p>
        </w:tc>
        <w:tc>
          <w:tcPr>
            <w:tcW w:w="2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Realized performance fee-related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6"/>
              </w:rPr>
              <w:t>Income attributable to non-controlling interests</w:t>
            </w:r>
          </w:p>
        </w:tc>
        <w:tc>
          <w:tcPr>
            <w:tcW w:w="2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Pre-tax adjusted net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23,654</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60" w:right="40" w:hanging="652"/>
        <w:spacing w:after="0" w:line="265"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compensation paid to certain equity holders as part of an acquisition earn-out ($0.3 million and $1.4 million for the three and six months ended September 30, 2019, respectively), severance costs ($0.1 million for the three months ended September 30, 2020, and $4.1 million and $0.1 million for the six months ended September 30, 2020 and 2019, respectively), transaction costs ($0.4 million and $1.0 million for the three and six months ended September 30, 2019, respectively), and other non-core operating income and expenses.</w:t>
      </w:r>
    </w:p>
    <w:p>
      <w:pPr>
        <w:ind w:left="660" w:right="520" w:hanging="652"/>
        <w:spacing w:after="0" w:line="273"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corporate income taxes at a blended statutory effective tax rate of 25.0% applied to pre-tax adjusted net income for all periods presented. The 25.0% is based on a federal tax statutory rate of 21.0% and a combined state, local and foreign income tax rate net of federal benefits of 4.0%. As we were not subject to U.S. federal and state income taxes prior to the Reorganization and IPO, the blended statutory effective tax rate of 25.0% has been applied to all periods presented for comparability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2020 Compared to Three Months Ended September 30, 2019</w:t>
      </w:r>
    </w:p>
    <w:p>
      <w:pPr>
        <w:spacing w:after="0" w:line="216"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0"/>
          <w:szCs w:val="20"/>
          <w:color w:val="auto"/>
        </w:rPr>
        <w:t>Adjusted revenues increased $20.1 million, or 30%, to $86.6 million for the three months ended September 30, 2020 as compared to the three months ended September 30, 2019, primarily reflecting higher net management and advisory fees, partially offset by lower realized carried interest allocation revenues.</w:t>
      </w:r>
    </w:p>
    <w:p>
      <w:pPr>
        <w:spacing w:after="0" w:line="18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ANI increased $6.8 million, or 59%, to $18.3 million for the three months ended September 30, 2020 as compared to the three months ended September 30, 2019, primarily due to the increase in FRE as discussed below, partially offset by a higher allocation of income to non-controlling interests.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2020 Compared to Six Months Ended September 30, 2019</w:t>
      </w:r>
    </w:p>
    <w:p>
      <w:pPr>
        <w:spacing w:after="0" w:line="216" w:lineRule="exact"/>
        <w:rPr>
          <w:sz w:val="20"/>
          <w:szCs w:val="20"/>
          <w:color w:val="auto"/>
        </w:rPr>
      </w:pPr>
    </w:p>
    <w:p>
      <w:pPr>
        <w:jc w:val="both"/>
        <w:ind w:right="180" w:firstLine="648"/>
        <w:spacing w:after="0" w:line="269" w:lineRule="auto"/>
        <w:rPr>
          <w:sz w:val="20"/>
          <w:szCs w:val="20"/>
          <w:color w:val="auto"/>
        </w:rPr>
      </w:pPr>
      <w:r>
        <w:rPr>
          <w:rFonts w:ascii="Arial" w:cs="Arial" w:eastAsia="Arial" w:hAnsi="Arial"/>
          <w:sz w:val="19"/>
          <w:szCs w:val="19"/>
          <w:color w:val="auto"/>
        </w:rPr>
        <w:t>Adjusted revenues increased $28.9 million, or 22%, to $160.8 million for the six months ended September 30, 2020 as compared to the six months ended September 30, 2019, primarily reflecting increases in net management and advisory fees and incentive fees (including the deferred portion), partially offset by decreases in realized carried interest allocation revenues.</w:t>
      </w:r>
    </w:p>
    <w:p>
      <w:pPr>
        <w:spacing w:after="0" w:line="170"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ANI increased $10.1 million, or 43%, to $33.7 million for the six months ended September 30, 2020 as compared to the six months ended September 30, 2019, primarily due to increases in FRE as discussed below, as well as an increase in incentive fees (including the deferred portion). These increases were partially offset by lower realized carried interest allocation revenues, net of related compensation, and a higher allocation of income to non-controlling interests.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The following table shows a reconciliation of diluted weighted-average shares of Class A common stock outstanding to adjusted shares outstanding used in the computation of ANI per share for the three and six months ended September 30, 2020 and 2019. As Class A common stock did not exist prior to the Reorganization and IPO, the computation of ANI per share assumes the same number of adjusted shares outstanding for all periods presented for comparability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3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September 30,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23,654</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w w:val="94"/>
              </w:rPr>
              <w:t>Weighted-average shares of Class A common stock</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outstanding – Diluted</w:t>
            </w:r>
          </w:p>
        </w:tc>
        <w:tc>
          <w:tcPr>
            <w:tcW w:w="2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0" w:type="dxa"/>
            <w:vAlign w:val="bottom"/>
          </w:tcPr>
          <w:p>
            <w:pPr>
              <w:spacing w:after="0"/>
              <w:rPr>
                <w:sz w:val="1"/>
                <w:szCs w:val="1"/>
                <w:color w:val="auto"/>
              </w:rPr>
            </w:pPr>
          </w:p>
        </w:tc>
      </w:tr>
      <w:tr>
        <w:trPr>
          <w:trHeight w:val="229"/>
        </w:trPr>
        <w:tc>
          <w:tcPr>
            <w:tcW w:w="3960" w:type="dxa"/>
            <w:vAlign w:val="bottom"/>
          </w:tcPr>
          <w:p>
            <w:pPr>
              <w:ind w:left="460"/>
              <w:spacing w:after="0"/>
              <w:rPr>
                <w:sz w:val="20"/>
                <w:szCs w:val="20"/>
                <w:color w:val="auto"/>
              </w:rPr>
            </w:pPr>
            <w:r>
              <w:rPr>
                <w:rFonts w:ascii="Arial" w:cs="Arial" w:eastAsia="Arial" w:hAnsi="Arial"/>
                <w:sz w:val="18"/>
                <w:szCs w:val="18"/>
                <w:color w:val="auto"/>
                <w:w w:val="90"/>
              </w:rPr>
              <w:t>Assumed vesting and exchange of Class B units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2,411,318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2,411,318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2,411,318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2,411,318</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92"/>
              </w:rPr>
              <w:t>Exchange of Class B units in the Partnership</w:t>
            </w:r>
            <w:r>
              <w:rPr>
                <w:rFonts w:ascii="Arial" w:cs="Arial" w:eastAsia="Arial" w:hAnsi="Arial"/>
                <w:sz w:val="23"/>
                <w:szCs w:val="23"/>
                <w:color w:val="auto"/>
                <w:w w:val="92"/>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Adjusted shares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Adjusted net income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Assumes the full exchange of Class B units in the Partnership for Class A common stock of SSG pursuant to the exchange agreement.</w:t>
      </w:r>
    </w:p>
    <w:p>
      <w:pPr>
        <w:spacing w:after="0" w:line="22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i w:val="1"/>
          <w:iCs w:val="1"/>
          <w:color w:val="auto"/>
        </w:rPr>
        <w:t>Three Months Ended September 30, 2020 Compared to Three Months Ended September 30, 2019</w:t>
      </w:r>
    </w:p>
    <w:p>
      <w:pPr>
        <w:spacing w:after="0" w:line="21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FRE increased $15.6 million, or 125%, to $28.2 million for the three months ended September 30, 2020 as compared to the three months ended September 30, 2019, primarily reflecting higher net management and advisory fees and lower general, administrative and other expenses, partially offset by higher cash-based compensation.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2020 Compared to Six Months Ended September 30, 2019</w:t>
      </w:r>
    </w:p>
    <w:p>
      <w:pPr>
        <w:spacing w:after="0" w:line="21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FRE increased $22.0 million, or 89%, to $46.6 million for the six months ended September 30, 2020 as compared to the six months ended September 30, 2019, primarily reflecting higher net management and advisory fees and lower general, administrative and other expenses, partially offset by higher cash-based compensation.</w:t>
      </w:r>
    </w:p>
    <w:p>
      <w:pPr>
        <w:spacing w:after="0" w:line="180"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231,451</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(157,509)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(100,334)</w:t>
            </w: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Adjusted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86,558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160,831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131,916</w:t>
            </w:r>
          </w:p>
        </w:tc>
      </w:tr>
      <w:tr>
        <w:trPr>
          <w:trHeight w:val="21"/>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before income tax to ANI and FRE.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79,046</w:t>
            </w:r>
          </w:p>
        </w:tc>
        <w:tc>
          <w:tcPr>
            <w:tcW w:w="0" w:type="dxa"/>
            <w:vAlign w:val="bottom"/>
          </w:tcPr>
          <w:p>
            <w:pPr>
              <w:spacing w:after="0"/>
              <w:rPr>
                <w:sz w:val="1"/>
                <w:szCs w:val="1"/>
                <w:color w:val="auto"/>
              </w:rPr>
            </w:pP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(9,045)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(13,138)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4100" w:type="dxa"/>
            <w:vAlign w:val="bottom"/>
          </w:tcPr>
          <w:p>
            <w:pPr>
              <w:ind w:left="680"/>
              <w:spacing w:after="0"/>
              <w:rPr>
                <w:sz w:val="20"/>
                <w:szCs w:val="20"/>
                <w:color w:val="auto"/>
              </w:rPr>
            </w:pPr>
            <w:r>
              <w:rPr>
                <w:rFonts w:ascii="Arial" w:cs="Arial" w:eastAsia="Arial" w:hAnsi="Arial"/>
                <w:sz w:val="18"/>
                <w:szCs w:val="18"/>
                <w:color w:val="auto"/>
              </w:rPr>
              <w:t>interests in subsidiaries</w:t>
            </w:r>
          </w:p>
        </w:tc>
        <w:tc>
          <w:tcPr>
            <w:tcW w:w="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carried interest allocation revenue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w w:val="90"/>
              </w:rPr>
              <w:t>Unrealized performance fee-related compensation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78,533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50,545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investment (income) loss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Unrealized investment income (loss) attributable</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 non-controlling interests in subsidiaries</w:t>
            </w:r>
          </w:p>
        </w:tc>
        <w:tc>
          <w:tcPr>
            <w:tcW w:w="2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Pre-tax adjusted net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23,654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Realized carried interest allocation revenue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Realized performance fee-related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Realized investment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Unrealized investment (income) loss attributable</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 non-controlling interests in subsidiaries</w:t>
            </w:r>
          </w:p>
        </w:tc>
        <w:tc>
          <w:tcPr>
            <w:tcW w:w="2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9,045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13,138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interests in subsidiaries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Fee-related earnings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jc w:val="both"/>
        <w:ind w:left="660" w:right="40" w:hanging="652"/>
        <w:spacing w:after="0" w:line="273"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compensation paid to certain equity holders as part of an acquisition earn-out ($0.3 million and $1.4 million for the three and six months ended September 30, 2019, respectively), severance costs ($0.1 million for the three months ended September 30, 2020, and $4.1 million and $0.1 million for the six months ended September 30, 2020 and 2019, respectively), transaction costs ($0.4 million and $1.0 million for the three and six months ended September 30, 2019, respectively), and other non-core operating income and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left="660" w:right="520" w:hanging="652"/>
        <w:spacing w:after="0" w:line="279"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corporate income taxes at a blended statutory effective tax rate of 25.0% applied to pre-tax adjusted net income for all periods presented. The 25.0% is based on a federal tax statutory rate of 21.0% and a combined state, local and foreign income tax rate net of federal benefits of 4.0%. As we were not subject to U.S. federal and state income taxes prior to the Reorganization and IPO, the blended statutory effective tax rate of 25.0% has been applied to all periods presented for comparability purposes.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9"/>
          <w:szCs w:val="19"/>
          <w:color w:val="auto"/>
        </w:rPr>
        <w:t>The following table presents information relating to the performance of all the investments that StepStone recommends and subsequently tracks across asset classes and investment strategies, except as set forth in greater detail, below. The data for these investments is generally presented from the inception date of each strategy and asset class through June 30, 2020 and have not been adjusted to reflect acquisitions or disposals of investments subsequent to that date.</w:t>
      </w:r>
    </w:p>
    <w:p>
      <w:pPr>
        <w:spacing w:after="0" w:line="17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16" w:lineRule="exact"/>
        <w:rPr>
          <w:sz w:val="20"/>
          <w:szCs w:val="20"/>
          <w:color w:val="auto"/>
        </w:rPr>
      </w:pPr>
    </w:p>
    <w:p>
      <w:pPr>
        <w:ind w:left="660" w:right="100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76"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June 30, 2020;</w:t>
      </w:r>
    </w:p>
    <w:p>
      <w:pPr>
        <w:spacing w:after="0" w:line="176" w:lineRule="exact"/>
        <w:rPr>
          <w:rFonts w:ascii="Arial" w:cs="Arial" w:eastAsia="Arial" w:hAnsi="Arial"/>
          <w:sz w:val="20"/>
          <w:szCs w:val="20"/>
          <w:color w:val="auto"/>
        </w:rPr>
      </w:pPr>
    </w:p>
    <w:p>
      <w:pPr>
        <w:ind w:left="660" w:right="260" w:hanging="328"/>
        <w:spacing w:after="0" w:line="316"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“IRR” refers to the annualized internal rate of return for all investments within the relevant investment strategy on an inception-to-date basis as of June 30, 2020 (except as noted otherwise, below), based on contributions, distributions and unrealized value;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1"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 and</w:t>
      </w:r>
    </w:p>
    <w:p>
      <w:pPr>
        <w:spacing w:after="0" w:line="215"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34"/>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74"/>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28"/>
                <w:szCs w:val="28"/>
                <w:b w:val="1"/>
                <w:bCs w:val="1"/>
                <w:color w:val="auto"/>
                <w:w w:val="87"/>
                <w:vertAlign w:val="subscript"/>
              </w:rPr>
              <w:t>IRR</w:t>
            </w:r>
            <w:r>
              <w:rPr>
                <w:rFonts w:ascii="Arial" w:cs="Arial" w:eastAsia="Arial" w:hAnsi="Arial"/>
                <w:sz w:val="9"/>
                <w:szCs w:val="9"/>
                <w:b w:val="1"/>
                <w:bCs w:val="1"/>
                <w:color w:val="auto"/>
                <w:w w:val="87"/>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34"/>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34"/>
              <w:spacing w:after="0"/>
              <w:rPr>
                <w:sz w:val="20"/>
                <w:szCs w:val="20"/>
                <w:color w:val="auto"/>
              </w:rPr>
            </w:pPr>
            <w:r>
              <w:rPr>
                <w:rFonts w:ascii="Arial" w:cs="Arial" w:eastAsia="Arial" w:hAnsi="Arial"/>
                <w:sz w:val="14"/>
                <w:szCs w:val="14"/>
                <w:color w:val="auto"/>
                <w:w w:val="90"/>
              </w:rPr>
              <w:t>14.0%</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1.4x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7.9%</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color w:val="auto"/>
                <w:w w:val="93"/>
              </w:rPr>
              <w:t>6.8%</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5.8%</w:t>
            </w:r>
          </w:p>
        </w:tc>
        <w:tc>
          <w:tcPr>
            <w:tcW w:w="0" w:type="dxa"/>
            <w:vAlign w:val="bottom"/>
          </w:tcPr>
          <w:p>
            <w:pPr>
              <w:spacing w:after="0"/>
              <w:rPr>
                <w:sz w:val="1"/>
                <w:szCs w:val="1"/>
                <w:color w:val="auto"/>
              </w:rPr>
            </w:pPr>
          </w:p>
        </w:tc>
      </w:tr>
      <w:tr>
        <w:trPr>
          <w:trHeight w:val="129"/>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34"/>
              <w:spacing w:after="0"/>
              <w:rPr>
                <w:sz w:val="20"/>
                <w:szCs w:val="20"/>
                <w:color w:val="auto"/>
              </w:rPr>
            </w:pPr>
            <w:r>
              <w:rPr>
                <w:rFonts w:ascii="Arial" w:cs="Arial" w:eastAsia="Arial" w:hAnsi="Arial"/>
                <w:sz w:val="14"/>
                <w:szCs w:val="14"/>
                <w:color w:val="auto"/>
                <w:w w:val="90"/>
              </w:rPr>
              <w:t>16.0%</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1.4x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8.8%</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74"/>
              <w:spacing w:after="0"/>
              <w:rPr>
                <w:sz w:val="20"/>
                <w:szCs w:val="20"/>
                <w:color w:val="auto"/>
              </w:rPr>
            </w:pPr>
            <w:r>
              <w:rPr>
                <w:rFonts w:ascii="Arial" w:cs="Arial" w:eastAsia="Arial" w:hAnsi="Arial"/>
                <w:sz w:val="14"/>
                <w:szCs w:val="14"/>
                <w:color w:val="auto"/>
                <w:w w:val="95"/>
              </w:rPr>
              <w:t>12.1%</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7.4%</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34"/>
              <w:spacing w:after="0"/>
              <w:rPr>
                <w:sz w:val="20"/>
                <w:szCs w:val="20"/>
                <w:color w:val="auto"/>
              </w:rPr>
            </w:pPr>
            <w:r>
              <w:rPr>
                <w:rFonts w:ascii="Arial" w:cs="Arial" w:eastAsia="Arial" w:hAnsi="Arial"/>
                <w:sz w:val="14"/>
                <w:szCs w:val="14"/>
                <w:color w:val="auto"/>
                <w:w w:val="90"/>
              </w:rPr>
              <w:t>17.9%</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1.5x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4.8%</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1.1x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74"/>
              <w:spacing w:after="0"/>
              <w:rPr>
                <w:sz w:val="20"/>
                <w:szCs w:val="20"/>
                <w:color w:val="auto"/>
              </w:rPr>
            </w:pPr>
            <w:r>
              <w:rPr>
                <w:rFonts w:ascii="Arial" w:cs="Arial" w:eastAsia="Arial" w:hAnsi="Arial"/>
                <w:sz w:val="14"/>
                <w:szCs w:val="14"/>
                <w:color w:val="auto"/>
                <w:w w:val="93"/>
              </w:rPr>
              <w:t>7.9%</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7.3%</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15.9%</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1.2x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6.5%</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5.8%</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2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Private Equity includes 1,014 investments totaling $93.6 billion of capital commitments and excludes (i) two advisory co-investments and 96 client-directed investments, totaling $100.0 million and $8.1 billion, respectively, of capital commitments,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Arial" w:cs="Arial" w:eastAsia="Arial" w:hAnsi="Arial"/>
          <w:sz w:val="18"/>
          <w:szCs w:val="18"/>
          <w:color w:val="auto"/>
        </w:rPr>
      </w:pPr>
    </w:p>
    <w:p>
      <w:pPr>
        <w:ind w:left="660" w:right="18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right="360" w:hanging="644"/>
        <w:spacing w:after="0" w:line="250" w:lineRule="auto"/>
        <w:tabs>
          <w:tab w:leader="none" w:pos="12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29"/>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ind w:left="1300" w:hanging="644"/>
        <w:spacing w:after="0"/>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w:t>
      </w:r>
    </w:p>
    <w:p>
      <w:pPr>
        <w:spacing w:after="0" w:line="32" w:lineRule="exact"/>
        <w:rPr>
          <w:sz w:val="20"/>
          <w:szCs w:val="20"/>
          <w:color w:val="auto"/>
        </w:rPr>
      </w:pPr>
    </w:p>
    <w:p>
      <w:pPr>
        <w:ind w:left="1300" w:right="100"/>
        <w:spacing w:after="0" w:line="281" w:lineRule="auto"/>
        <w:rPr>
          <w:sz w:val="20"/>
          <w:szCs w:val="20"/>
          <w:color w:val="auto"/>
        </w:rPr>
      </w:pPr>
      <w:r>
        <w:rPr>
          <w:rFonts w:ascii="Arial" w:cs="Arial" w:eastAsia="Arial" w:hAnsi="Arial"/>
          <w:sz w:val="16"/>
          <w:szCs w:val="16"/>
          <w:color w:val="auto"/>
        </w:rPr>
        <w:t>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1" w:lineRule="exact"/>
        <w:rPr>
          <w:sz w:val="20"/>
          <w:szCs w:val="20"/>
          <w:color w:val="auto"/>
        </w:rPr>
      </w:pPr>
    </w:p>
    <w:p>
      <w:pPr>
        <w:ind w:left="660" w:right="420"/>
        <w:spacing w:after="0" w:line="250"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60" w:right="40" w:hanging="652"/>
        <w:spacing w:after="0" w:line="253"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ind w:left="660" w:right="20" w:hanging="652"/>
        <w:spacing w:after="0" w:line="253"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 Estate includes 379 investments totaling $56.1 billion of capital commitments and excludes (i) 22 client-directed investments, totaling $2.4 billion of capital commitments, (ii) three secondary core/core+ investments, totaling $234.1 million, and (iii)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Infrastructure includes 105 investments totaling $19.8 billion of capital commitments and excludes (i) approximately 12 infrastructure investments made by the Partnership prior to the formation of the Infrastructure subsidiary in 2013 or made prior to the Courtland acquisition, and eight client-directed investments, totaling $806.9 million and $543.5 million,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81" w:lineRule="auto"/>
        <w:tabs>
          <w:tab w:leader="none" w:pos="6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Private Debt includes 422 investments totaling $18.2 billion of capital commitments and excludes (i) 21 client-directed investments, totaling $1.4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net asset value for management fee. Net IRR for certain investments may have been impacted by StepStone’s or the underlying fund manager’s use of subscription backed credit facilities by such vehicles. Reinvested/recycled amounts increase contributed capital.</w:t>
      </w:r>
    </w:p>
    <w:p>
      <w:pPr>
        <w:spacing w:after="0" w:line="4" w:lineRule="exact"/>
        <w:rPr>
          <w:rFonts w:ascii="Arial" w:cs="Arial" w:eastAsia="Arial" w:hAnsi="Arial"/>
          <w:sz w:val="16"/>
          <w:szCs w:val="16"/>
          <w:color w:val="auto"/>
        </w:rPr>
      </w:pPr>
    </w:p>
    <w:p>
      <w:pPr>
        <w:ind w:left="660" w:right="600" w:hanging="652"/>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300" w:hanging="652"/>
        <w:spacing w:after="0" w:line="26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 debt, fund of funds, leasing, regulatory capital, trade finance and intellectual property/royalty.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funding our growth initiatives, including capital expenditures and acquisitions to expand into new businesses.</w:t>
      </w:r>
    </w:p>
    <w:p>
      <w:pPr>
        <w:spacing w:after="0" w:line="16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9"/>
          <w:szCs w:val="19"/>
          <w:color w:val="auto"/>
        </w:rPr>
        <w:t>As of September 30, 2020, we had $159.8 million of cash, cash equivalents and restricted cash and $544.1 million of investments in StepStone Funds, including $486.2 million of accrued carried interest allocations, against $245.8 million in accrued carried interest-related compensation payable. On September 18, 2020, we repaid in full the indebtedness outstanding on the Term Loan B in the amount of $146.6 million. As of September 30, 2020, we had no debt obligations outstanding.</w:t>
      </w:r>
    </w:p>
    <w:p>
      <w:pPr>
        <w:spacing w:after="0" w:line="1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capital expenditures, dividends to our stockholders and distributions to holders of Partnership units, and to make investments in the StepStone Funds. We believe we will have sufficient cash to meet our obligations for the next 12 months.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September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46,651</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jc w:val="both"/>
        <w:ind w:right="560" w:firstLine="648"/>
        <w:spacing w:after="0" w:line="385" w:lineRule="auto"/>
        <w:rPr>
          <w:sz w:val="20"/>
          <w:szCs w:val="20"/>
          <w:color w:val="auto"/>
        </w:rPr>
      </w:pPr>
      <w:r>
        <w:rPr>
          <w:rFonts w:ascii="Arial" w:cs="Arial" w:eastAsia="Arial" w:hAnsi="Arial"/>
          <w:sz w:val="16"/>
          <w:szCs w:val="16"/>
          <w:color w:val="auto"/>
        </w:rPr>
        <w:t>Operating activities provided $82.9 million and $46.7 million of cash for the six months ended September 30, 2020 and 2019, respectively. For the six months ended September 30, 2020 and 2019, respectively, these amounts primarily consisted of the following:</w:t>
      </w:r>
    </w:p>
    <w:p>
      <w:pPr>
        <w:spacing w:after="0" w:line="85"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net income (loss), after adjustments for non-cash items, of $39.3 million and $(19.0) million; and</w:t>
      </w:r>
    </w:p>
    <w:p>
      <w:pPr>
        <w:spacing w:after="0" w:line="215" w:lineRule="exact"/>
        <w:rPr>
          <w:rFonts w:ascii="Arial" w:cs="Arial" w:eastAsia="Arial" w:hAnsi="Arial"/>
          <w:sz w:val="20"/>
          <w:szCs w:val="20"/>
          <w:color w:val="auto"/>
        </w:rPr>
      </w:pPr>
    </w:p>
    <w:p>
      <w:pPr>
        <w:ind w:left="980" w:right="800" w:hanging="324"/>
        <w:spacing w:after="0" w:line="260" w:lineRule="auto"/>
        <w:tabs>
          <w:tab w:leader="none" w:pos="968" w:val="left"/>
        </w:tabs>
        <w:numPr>
          <w:ilvl w:val="0"/>
          <w:numId w:val="32"/>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$43.6 million and $65.6 million, primarily reflecting changes in accrued compensation and benefits and accrued carried interest-related compensation.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Investing activities used $5.7 million and $2.8 million of cash for the six months ended September 30, 2020 and 2019,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net contributions to investments of $5.0 million and $2.6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purchases of fixed assets of $0.7 million and $0.1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net purchases of marketable securities of $0 million and $0.1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Financing activities used $7.2 million and $22.8 million of cash for the six months ended September 30, 2020 and 2019,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sale of non-controlling interests of $3.3 million and $110.8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proceeds from IPO, net of underwriting discounts of $337.8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purchase of non-controlling interests of $131.3 million and $107.2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payment of deferred offering costs of $5.9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payments on term loan of $147.0 million and $0.8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distributions to non-controlling interests of $63.6 million and $24.8 million;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141" w:lineRule="exact"/>
        <w:rPr>
          <w:sz w:val="20"/>
          <w:szCs w:val="20"/>
          <w:color w:val="auto"/>
        </w:rPr>
      </w:pPr>
    </w:p>
    <w:p>
      <w:pPr>
        <w:ind w:left="960" w:hanging="304"/>
        <w:spacing w:after="0"/>
        <w:tabs>
          <w:tab w:leader="none" w:pos="9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payments for acquisition earn-outs of $0.5 million and $0.6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Prior Credit Agreement</w:t>
      </w:r>
    </w:p>
    <w:p>
      <w:pPr>
        <w:spacing w:after="0" w:line="222"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In March 2018, we entered into a credit and guaranty agreement (“Credit Agreement”) with various lenders. The Credit Agreement was arranged by JPMorgan Chase Bank, N.A. (“JPMorgan”), as the administrative agent, and provided for the Term Loan B with an aggregate principal of $150.0 million and a senior secured revolving facility (“LOC”) with an aggregate borrowing capacity of $10.0 million. Net proceeds from the Term Loan B were $145.7 million, net of arrangement fees and other expenses. A portion of the proceeds were used to repay the outstanding balances on a prior credit facility.</w:t>
      </w:r>
    </w:p>
    <w:p>
      <w:pPr>
        <w:spacing w:after="0" w:line="194"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On September 18, 2020, we repaid in full the indebtedness outstanding on the Term Loan B in the amount of $146.6 million. In connection with the repayment, we wrote-off the unamortized debt issuance costs and discount of $3.5 million, which is included in interest expense in the condensed consolidated statements of income for the quarter ended September 30, 2020. As of September 30, 2020, we had no debt obligations outstanding.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In August 2019, we completed a series of transactions resulting in the unitization of our equity and the combination of certain classes of our equity to facilitate the sale of newly issued equity interests in us to certain institutional investors (the “2019 Transaction”). We received approximately $110.8 million in net proceeds from the sale of equity to institutional investors and used all of the proceeds to repurchase an equal number of equity interests from certain of our existing equity holders. In addition, we repurchased additional Class D partnership interests from a former employee for $2.3 million, which will be paid to the former employee at such time as carried interest allocations are realized by us. In connection with the 2019 Transaction, the previously existing Class A1, Class B, Class C and Class D partnership units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194"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In June 2020, one of our consolidated subsidiaries completed a transaction to repurchase partnership interests in the subsidiary from a former partner for approximately $3.3 million, and subsequently sold an equal number of partnership interests to certain employees of the subsidiary for approximately $3.3 million, resulting in no net proceeds to the subsidiary.</w:t>
      </w:r>
    </w:p>
    <w:p>
      <w:pPr>
        <w:spacing w:after="0" w:line="186"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In connection with the consummation of the IPO, we issued new partnership interests to certain StepStone professionals in the Infrastructure subsidiary in exchange for their partnership interests in the Infrastructure subsidiary, which increased our interest in the Infrastructure subsidiary to approximately 49% and decreased the interest of the StepStone professionals in the Infrastructure subsidiary to approximately 51%.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Capital Requirements of Regulated Entities</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September 30, 2020, we were required to maintain approximately $1.8 million in net capital at these subsidiaries and were in compliance with all regulatory minimum net capital requirements.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may pay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8"/>
          <w:szCs w:val="18"/>
          <w:color w:val="auto"/>
        </w:rPr>
        <w:t>We have entered into an Exchanges Tax Receivable Agreement with certain continuing partners of the Partnership and a Reorganization Tax Receivable Agreement with certain pre-IPO institutional investors (collectively, the “Tax Receivable Agreements”). The Tax Receivable Agreements provide for payment by SSG to these continuing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continuing partner’s and institutional investor’s Partnership units in connection with the Reorganization and IPO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22"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auto"/>
        </w:rPr>
        <w:t>In the ordinary course of business, we enter into contractual arrangements that require future cash payments. The following table sets forth information regarding our anticipated future cash payments under our contractual obligations as of September 30,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8"/>
                <w:szCs w:val="18"/>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Remainder of</w:t>
            </w:r>
          </w:p>
        </w:tc>
        <w:tc>
          <w:tcPr>
            <w:tcW w:w="15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9"/>
              </w:rPr>
              <w:t>Fiscal 2022-2023</w:t>
            </w:r>
          </w:p>
        </w:tc>
        <w:tc>
          <w:tcPr>
            <w:tcW w:w="14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9"/>
              </w:rPr>
              <w:t>Fiscal 2024-2025</w:t>
            </w:r>
          </w:p>
        </w:tc>
        <w:tc>
          <w:tcPr>
            <w:tcW w:w="200" w:type="dxa"/>
            <w:vAlign w:val="bottom"/>
          </w:tcPr>
          <w:p>
            <w:pPr>
              <w:spacing w:after="0"/>
              <w:rPr>
                <w:sz w:val="18"/>
                <w:szCs w:val="18"/>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30"/>
        </w:trPr>
        <w:tc>
          <w:tcPr>
            <w:tcW w:w="3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Fiscal 2021</w:t>
            </w:r>
          </w:p>
        </w:tc>
        <w:tc>
          <w:tcPr>
            <w:tcW w:w="1500" w:type="dxa"/>
            <w:vAlign w:val="bottom"/>
            <w:gridSpan w:val="3"/>
            <w:vMerge w:val="continue"/>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line="223"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81,125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8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17,404</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earnout payments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line="230" w:lineRule="exact"/>
              <w:rPr>
                <w:sz w:val="20"/>
                <w:szCs w:val="20"/>
                <w:color w:val="auto"/>
              </w:rPr>
            </w:pPr>
            <w:r>
              <w:rPr>
                <w:rFonts w:ascii="Arial" w:cs="Arial" w:eastAsia="Arial" w:hAnsi="Arial"/>
                <w:sz w:val="18"/>
                <w:szCs w:val="18"/>
                <w:color w:val="auto"/>
              </w:rPr>
              <w:t>Capital commitments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61,396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40" w:hanging="652"/>
        <w:spacing w:after="0" w:line="302" w:lineRule="auto"/>
        <w:tabs>
          <w:tab w:leader="none" w:pos="654"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lease office space and certain office equipment under agreements that expire periodically through 2031. The table only includes guaranteed minimum lease payments under these agreements and does not project other lease-related payments. These leases are classified as operating leases for financial reporting purposes and, accordingly, are not recorded as liabilities in our condensed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left="660" w:hanging="652"/>
        <w:spacing w:after="0" w:line="263"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commitments represent our obligations to provide general partner capital funding to the StepStone Funds. These amounts are generally due on demand, and accordingly, have been presented as obligations payable in the Remainder of Fiscal 2021 column. Capital commitments are expected to be called over a period of several years.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We have entered into Tax Receivable Agreements with certain non-controlling interest holders pursuant to which we will pay them 85% of the net cash tax savings, if any, realized (or, under certain circumstances, deemed to realize) as a result of increases in tax basis resulting from the acquisition of their units in the Partnership in connection with the Reorganization and IPO. Because the timing of amounts to be paid under the Tax Receivable Agreements cannot be determined, this contractual commitment has not been presented in the table above. The tax savings actually realized may be substantial and we may not have sufficient cash available to pay this liability, in which case, we may be required to incur additional debt to satisfy this liability.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6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See note 2 to our condensed consolidated financial statements included elsewhere in this quarterly report, and note 2 to our audited consolidated financial statements included in our prospectus dated September 15, 2020, filed with the SEC on September 16, 2020, for a summary of our significant accounting policies.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Our management fee and advisory fee revenue is only marginally affected by changes in investment values because our management fees are generally based on commitments or net invested capital and our advisory fees are fixed. As of September 30, 2020, NAV-based management fees represented approximately 1% of total net management and advisory fees. We estimate that a 10% decline in market values of the investments held in our funds as of September 30, 2020 would result in an approximate $0.5 million decrease to annual management fees.</w:t>
      </w:r>
    </w:p>
    <w:p>
      <w:pPr>
        <w:spacing w:after="0" w:line="19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60" w:hanging="328"/>
        <w:spacing w:after="0" w:line="263" w:lineRule="auto"/>
        <w:tabs>
          <w:tab w:leader="none" w:pos="648"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September 30, 2020, we had $12.7 million of deferred incentive fee revenue recorded in accounts payable, accrued expenses and other liabilities in the condensed consolidated balance sheets.</w:t>
      </w:r>
    </w:p>
    <w:p>
      <w:pPr>
        <w:spacing w:after="0" w:line="176" w:lineRule="exact"/>
        <w:rPr>
          <w:rFonts w:ascii="Arial" w:cs="Arial" w:eastAsia="Arial" w:hAnsi="Arial"/>
          <w:sz w:val="19"/>
          <w:szCs w:val="19"/>
          <w:color w:val="auto"/>
        </w:rPr>
      </w:pPr>
    </w:p>
    <w:p>
      <w:pPr>
        <w:ind w:left="660" w:hanging="328"/>
        <w:spacing w:after="0" w:line="255" w:lineRule="auto"/>
        <w:tabs>
          <w:tab w:leader="none" w:pos="648" w:val="left"/>
        </w:tabs>
        <w:numPr>
          <w:ilvl w:val="0"/>
          <w:numId w:val="38"/>
        </w:numPr>
        <w:rPr>
          <w:rFonts w:ascii="Arial" w:cs="Arial" w:eastAsia="Arial" w:hAnsi="Arial"/>
          <w:sz w:val="19"/>
          <w:szCs w:val="19"/>
          <w:color w:val="auto"/>
        </w:rPr>
      </w:pPr>
      <w:r>
        <w:rPr>
          <w:rFonts w:ascii="Arial" w:cs="Arial" w:eastAsia="Arial" w:hAnsi="Arial"/>
          <w:sz w:val="19"/>
          <w:szCs w:val="19"/>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September 30, 2020, the maximum amount of carried interest allocation subject to contingent repayment was an estimated $79.9 million, net of tax, assuming the fair value of all investments was zero, a possibility that we view as remote.</w:t>
      </w:r>
    </w:p>
    <w:p>
      <w:pPr>
        <w:spacing w:after="0" w:line="181" w:lineRule="exact"/>
        <w:rPr>
          <w:rFonts w:ascii="Arial" w:cs="Arial" w:eastAsia="Arial" w:hAnsi="Arial"/>
          <w:sz w:val="19"/>
          <w:szCs w:val="19"/>
          <w:color w:val="auto"/>
        </w:rPr>
      </w:pPr>
    </w:p>
    <w:p>
      <w:pPr>
        <w:ind w:left="660" w:right="140" w:hanging="328"/>
        <w:spacing w:after="0" w:line="269" w:lineRule="auto"/>
        <w:tabs>
          <w:tab w:leader="none" w:pos="648"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Investment income changes in relation to realized and unrealized gains and losses of the underlying investments in our funds in which we have a general partner commitment. Based on investments held as of September 30, 2020, we estimate that a 10% decline in fair value of the investments would result in a $5.8 million decrease in the amount of income.</w:t>
      </w:r>
    </w:p>
    <w:p>
      <w:pPr>
        <w:spacing w:after="0" w:line="16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1"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one percent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ind w:right="100" w:firstLine="648"/>
        <w:spacing w:after="0" w:line="328" w:lineRule="auto"/>
        <w:rPr>
          <w:sz w:val="20"/>
          <w:szCs w:val="20"/>
          <w:color w:val="auto"/>
        </w:rPr>
      </w:pPr>
      <w:r>
        <w:rPr>
          <w:rFonts w:ascii="Arial" w:cs="Arial" w:eastAsia="Arial" w:hAnsi="Arial"/>
          <w:sz w:val="16"/>
          <w:szCs w:val="16"/>
          <w:color w:val="auto"/>
        </w:rPr>
        <w:t>During the quarter ended September 30, 2020, we used a portion of the net proceeds from the IPO to repay in full the indebtedness outstanding on the Term Loan B in the amount of $146.6 million and accrued interest of $0.6 million. As of September 30, 2020, there were no debt obligations outstanding. Of the $156.9 million of cash, cash equivalents and restricted cash as of September 30, 2020, we estimate that interest income would increase by $1.6 million on an annualized basis as a result of a 100 basis point increase in interest rates.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10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1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41"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We have not engaged an independent registered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16"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September 30, 2020,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The information required with respect to this item can be found under “Litigation” in note 14, Commitments and Contingencies, to our condensed consolidated financial statements included elsewhere in this quarterly report, and such information is incorporated by reference into this Item 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280" w:firstLine="648"/>
        <w:spacing w:after="0" w:line="246" w:lineRule="auto"/>
        <w:rPr>
          <w:sz w:val="20"/>
          <w:szCs w:val="20"/>
          <w:color w:val="auto"/>
        </w:rPr>
      </w:pPr>
      <w:r>
        <w:rPr>
          <w:rFonts w:ascii="Arial" w:cs="Arial" w:eastAsia="Arial" w:hAnsi="Arial"/>
          <w:sz w:val="20"/>
          <w:szCs w:val="20"/>
          <w:color w:val="auto"/>
        </w:rPr>
        <w:t>There have been no material changes from the risk factors previously disclosed in “Risk Factors” included in our prospectus dated September 15, 2020, filed with the SEC on September 16,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4740" w:type="dxa"/>
            <w:vAlign w:val="bottom"/>
            <w:tcBorders>
              <w:bottom w:val="single" w:sz="8" w:color="auto"/>
            </w:tcBorders>
            <w:gridSpan w:val="30"/>
          </w:tcPr>
          <w:p>
            <w:pPr>
              <w:spacing w:after="0"/>
              <w:rPr>
                <w:sz w:val="20"/>
                <w:szCs w:val="20"/>
                <w:color w:val="auto"/>
              </w:rPr>
            </w:pPr>
            <w:r>
              <w:rPr>
                <w:rFonts w:ascii="Arial" w:cs="Arial" w:eastAsia="Arial" w:hAnsi="Arial"/>
                <w:sz w:val="18"/>
                <w:szCs w:val="18"/>
                <w:b w:val="1"/>
                <w:bCs w:val="1"/>
                <w:color w:val="auto"/>
              </w:rPr>
              <w:t>Description of Exhibit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ind w:left="20"/>
              <w:spacing w:after="0" w:line="182" w:lineRule="exact"/>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3.1</w:t>
              </w:r>
            </w:hyperlink>
          </w:p>
        </w:tc>
        <w:tc>
          <w:tcPr>
            <w:tcW w:w="4740" w:type="dxa"/>
            <w:vAlign w:val="bottom"/>
            <w:gridSpan w:val="30"/>
          </w:tcPr>
          <w:p>
            <w:pPr>
              <w:spacing w:after="0" w:line="182" w:lineRule="exact"/>
              <w:rPr>
                <w:rFonts w:ascii="Arial" w:cs="Arial" w:eastAsia="Arial" w:hAnsi="Arial"/>
                <w:sz w:val="18"/>
                <w:szCs w:val="18"/>
                <w:color w:val="0000FF"/>
                <w:w w:val="95"/>
              </w:rPr>
            </w:pPr>
            <w:hyperlink r:id="rId83">
              <w:r>
                <w:rPr>
                  <w:rFonts w:ascii="Arial" w:cs="Arial" w:eastAsia="Arial" w:hAnsi="Arial"/>
                  <w:sz w:val="18"/>
                  <w:szCs w:val="18"/>
                  <w:color w:val="0000FF"/>
                  <w:w w:val="95"/>
                </w:rPr>
                <w:t>Form of Amended and Restated Certificate of Incorporation of</w:t>
              </w:r>
            </w:hyperlink>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5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StepStone Group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20" w:type="dxa"/>
            <w:vAlign w:val="bottom"/>
          </w:tcPr>
          <w:p>
            <w:pPr>
              <w:ind w:left="2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3.2</w:t>
              </w:r>
            </w:hyperlink>
          </w:p>
        </w:tc>
        <w:tc>
          <w:tcPr>
            <w:tcW w:w="4740" w:type="dxa"/>
            <w:vAlign w:val="bottom"/>
            <w:gridSpan w:val="30"/>
          </w:tcPr>
          <w:p>
            <w:pPr>
              <w:spacing w:after="0"/>
              <w:rPr>
                <w:rFonts w:ascii="Arial" w:cs="Arial" w:eastAsia="Arial" w:hAnsi="Arial"/>
                <w:sz w:val="18"/>
                <w:szCs w:val="18"/>
                <w:u w:val="single" w:color="auto"/>
                <w:color w:val="0000FF"/>
                <w:w w:val="91"/>
              </w:rPr>
            </w:pPr>
            <w:hyperlink r:id="rId84">
              <w:r>
                <w:rPr>
                  <w:rFonts w:ascii="Arial" w:cs="Arial" w:eastAsia="Arial" w:hAnsi="Arial"/>
                  <w:sz w:val="18"/>
                  <w:szCs w:val="18"/>
                  <w:u w:val="single" w:color="auto"/>
                  <w:color w:val="0000FF"/>
                  <w:w w:val="91"/>
                </w:rPr>
                <w:t>Form of Amended and Restated Bylaws of StepStone Group Inc.</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line="190" w:lineRule="exact"/>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10.1</w:t>
              </w:r>
            </w:hyperlink>
          </w:p>
        </w:tc>
        <w:tc>
          <w:tcPr>
            <w:tcW w:w="4540" w:type="dxa"/>
            <w:vAlign w:val="bottom"/>
            <w:tcBorders>
              <w:bottom w:val="single" w:sz="8" w:color="0000FF"/>
            </w:tcBorders>
            <w:gridSpan w:val="20"/>
          </w:tcPr>
          <w:p>
            <w:pPr>
              <w:spacing w:after="0" w:line="190"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Eighth Amended and Restated Limited Partnership Agreement</w:t>
              </w:r>
            </w:hyperlink>
          </w:p>
        </w:tc>
        <w:tc>
          <w:tcPr>
            <w:tcW w:w="200" w:type="dxa"/>
            <w:vAlign w:val="bottom"/>
            <w:gridSpan w:val="10"/>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740" w:type="dxa"/>
            <w:vAlign w:val="bottom"/>
            <w:gridSpan w:val="30"/>
          </w:tcPr>
          <w:p>
            <w:pPr>
              <w:spacing w:after="0" w:line="15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of StepStone Group LP, dated as of September 18, 2020, by and</w:t>
              </w:r>
            </w:hyperlink>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among StepStone Group Holdings LLC, as General Partner,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rPr>
                <w:sz w:val="16"/>
                <w:szCs w:val="16"/>
                <w:color w:val="auto"/>
              </w:rPr>
            </w:pPr>
          </w:p>
        </w:tc>
        <w:tc>
          <w:tcPr>
            <w:tcW w:w="4680" w:type="dxa"/>
            <w:vAlign w:val="bottom"/>
            <w:gridSpan w:val="27"/>
          </w:tcPr>
          <w:p>
            <w:pPr>
              <w:spacing w:after="0" w:line="195" w:lineRule="exact"/>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each of the other persons and entities parties thereto</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line="190" w:lineRule="exact"/>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10.2</w:t>
              </w:r>
            </w:hyperlink>
          </w:p>
        </w:tc>
        <w:tc>
          <w:tcPr>
            <w:tcW w:w="4740" w:type="dxa"/>
            <w:vAlign w:val="bottom"/>
            <w:gridSpan w:val="30"/>
          </w:tcPr>
          <w:p>
            <w:pPr>
              <w:spacing w:after="0" w:line="190"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Tax Receivable Agreement (Exchanges), dated as of September</w:t>
              </w:r>
            </w:hyperlink>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18, 2020, by and among StepStone Group Inc., StepStone Group</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rPr>
                <w:sz w:val="16"/>
                <w:szCs w:val="16"/>
                <w:color w:val="auto"/>
              </w:rPr>
            </w:pPr>
          </w:p>
        </w:tc>
        <w:tc>
          <w:tcPr>
            <w:tcW w:w="4720" w:type="dxa"/>
            <w:vAlign w:val="bottom"/>
            <w:gridSpan w:val="29"/>
          </w:tcPr>
          <w:p>
            <w:pPr>
              <w:spacing w:after="0" w:line="195" w:lineRule="exact"/>
              <w:rPr>
                <w:rFonts w:ascii="Arial" w:cs="Arial" w:eastAsia="Arial" w:hAnsi="Arial"/>
                <w:sz w:val="18"/>
                <w:szCs w:val="18"/>
                <w:u w:val="single" w:color="auto"/>
                <w:color w:val="0000FF"/>
                <w:w w:val="96"/>
              </w:rPr>
            </w:pPr>
            <w:hyperlink r:id="rId86">
              <w:r>
                <w:rPr>
                  <w:rFonts w:ascii="Arial" w:cs="Arial" w:eastAsia="Arial" w:hAnsi="Arial"/>
                  <w:sz w:val="18"/>
                  <w:szCs w:val="18"/>
                  <w:u w:val="single" w:color="auto"/>
                  <w:color w:val="0000FF"/>
                  <w:w w:val="96"/>
                </w:rPr>
                <w:t>LP, and each of the other persons and entities parties thereto</w:t>
              </w:r>
            </w:hyperlink>
          </w:p>
        </w:tc>
        <w:tc>
          <w:tcPr>
            <w:tcW w:w="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line="190" w:lineRule="exact"/>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10.3</w:t>
              </w:r>
            </w:hyperlink>
          </w:p>
        </w:tc>
        <w:tc>
          <w:tcPr>
            <w:tcW w:w="4080" w:type="dxa"/>
            <w:vAlign w:val="bottom"/>
            <w:tcBorders>
              <w:bottom w:val="single" w:sz="8" w:color="0000FF"/>
            </w:tcBorders>
            <w:gridSpan w:val="12"/>
          </w:tcPr>
          <w:p>
            <w:pPr>
              <w:spacing w:after="0" w:line="190" w:lineRule="exact"/>
              <w:rPr>
                <w:rFonts w:ascii="Arial" w:cs="Arial" w:eastAsia="Arial" w:hAnsi="Arial"/>
                <w:sz w:val="18"/>
                <w:szCs w:val="18"/>
                <w:color w:val="0000FF"/>
                <w:w w:val="89"/>
              </w:rPr>
            </w:pPr>
            <w:hyperlink r:id="rId87">
              <w:r>
                <w:rPr>
                  <w:rFonts w:ascii="Arial" w:cs="Arial" w:eastAsia="Arial" w:hAnsi="Arial"/>
                  <w:sz w:val="18"/>
                  <w:szCs w:val="18"/>
                  <w:color w:val="0000FF"/>
                  <w:w w:val="89"/>
                </w:rPr>
                <w:t>Tax Receivable Agreement (Reorganization), dated as of</w:t>
              </w:r>
            </w:hyperlink>
          </w:p>
        </w:tc>
        <w:tc>
          <w:tcPr>
            <w:tcW w:w="660" w:type="dxa"/>
            <w:vAlign w:val="bottom"/>
            <w:gridSpan w:val="18"/>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0" w:type="dxa"/>
            <w:vAlign w:val="bottom"/>
            <w:tcBorders>
              <w:bottom w:val="single" w:sz="8" w:color="0000FF"/>
            </w:tcBorders>
            <w:gridSpan w:val="13"/>
          </w:tcPr>
          <w:p>
            <w:pPr>
              <w:spacing w:after="0" w:line="156" w:lineRule="exact"/>
              <w:rPr>
                <w:rFonts w:ascii="Arial" w:cs="Arial" w:eastAsia="Arial" w:hAnsi="Arial"/>
                <w:sz w:val="18"/>
                <w:szCs w:val="18"/>
                <w:color w:val="0000FF"/>
                <w:w w:val="88"/>
              </w:rPr>
            </w:pPr>
            <w:hyperlink r:id="rId87">
              <w:r>
                <w:rPr>
                  <w:rFonts w:ascii="Arial" w:cs="Arial" w:eastAsia="Arial" w:hAnsi="Arial"/>
                  <w:sz w:val="18"/>
                  <w:szCs w:val="18"/>
                  <w:color w:val="0000FF"/>
                  <w:w w:val="88"/>
                </w:rPr>
                <w:t>September 18, 2020, by and among StepStone Group Inc.,</w:t>
              </w:r>
            </w:hyperlink>
          </w:p>
        </w:tc>
        <w:tc>
          <w:tcPr>
            <w:tcW w:w="540" w:type="dxa"/>
            <w:vAlign w:val="bottom"/>
            <w:gridSpan w:val="17"/>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740" w:type="dxa"/>
            <w:vAlign w:val="bottom"/>
            <w:gridSpan w:val="30"/>
          </w:tcPr>
          <w:p>
            <w:pPr>
              <w:spacing w:after="0" w:line="15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StepStone Group LP, and each of the other persons and entities</w:t>
              </w:r>
            </w:hyperlink>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87">
              <w:r>
                <w:rPr>
                  <w:rFonts w:ascii="Arial" w:cs="Arial" w:eastAsia="Arial" w:hAnsi="Arial"/>
                  <w:sz w:val="18"/>
                  <w:szCs w:val="18"/>
                  <w:color w:val="0000FF"/>
                  <w:w w:val="86"/>
                </w:rPr>
                <w:t>parties thereto</w:t>
              </w:r>
            </w:hyperlink>
          </w:p>
        </w:tc>
        <w:tc>
          <w:tcPr>
            <w:tcW w:w="35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10.4</w:t>
              </w:r>
            </w:hyperlink>
          </w:p>
        </w:tc>
        <w:tc>
          <w:tcPr>
            <w:tcW w:w="4740" w:type="dxa"/>
            <w:vAlign w:val="bottom"/>
            <w:gridSpan w:val="30"/>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Exchange Agreement, dated as of September 18, 2020, by and</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50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among the Company, the Partnership, and each of the other</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88">
              <w:r>
                <w:rPr>
                  <w:rFonts w:ascii="Arial" w:cs="Arial" w:eastAsia="Arial" w:hAnsi="Arial"/>
                  <w:sz w:val="18"/>
                  <w:szCs w:val="18"/>
                  <w:color w:val="0000FF"/>
                  <w:w w:val="88"/>
                </w:rPr>
                <w:t>persons and entities party thereto</w:t>
              </w:r>
            </w:hyperlink>
          </w:p>
        </w:tc>
        <w:tc>
          <w:tcPr>
            <w:tcW w:w="188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10.5</w:t>
              </w:r>
            </w:hyperlink>
          </w:p>
        </w:tc>
        <w:tc>
          <w:tcPr>
            <w:tcW w:w="4740" w:type="dxa"/>
            <w:vAlign w:val="bottom"/>
            <w:gridSpan w:val="30"/>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Registration Rights Agreement, dated as of September 18, 2020,</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70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by and among the Company and the other persons and entities</w:t>
              </w:r>
            </w:hyperlink>
          </w:p>
        </w:tc>
        <w:tc>
          <w:tcPr>
            <w:tcW w:w="40" w:type="dxa"/>
            <w:vAlign w:val="bottom"/>
            <w:gridSpan w:val="2"/>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4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party thereto</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10.6</w:t>
              </w:r>
            </w:hyperlink>
          </w:p>
        </w:tc>
        <w:tc>
          <w:tcPr>
            <w:tcW w:w="4740" w:type="dxa"/>
            <w:vAlign w:val="bottom"/>
            <w:gridSpan w:val="30"/>
          </w:tcPr>
          <w:p>
            <w:pPr>
              <w:spacing w:after="0"/>
              <w:rPr>
                <w:rFonts w:ascii="Arial" w:cs="Arial" w:eastAsia="Arial" w:hAnsi="Arial"/>
                <w:sz w:val="18"/>
                <w:szCs w:val="18"/>
                <w:color w:val="0000FF"/>
                <w:w w:val="95"/>
              </w:rPr>
            </w:pPr>
            <w:hyperlink r:id="rId90">
              <w:r>
                <w:rPr>
                  <w:rFonts w:ascii="Arial" w:cs="Arial" w:eastAsia="Arial" w:hAnsi="Arial"/>
                  <w:sz w:val="18"/>
                  <w:szCs w:val="18"/>
                  <w:color w:val="0000FF"/>
                  <w:w w:val="95"/>
                </w:rPr>
                <w:t>Stockholders Agreement, dated as of September 18, 2020, by</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5"/>
              </w:rPr>
            </w:pPr>
            <w:hyperlink r:id="rId90">
              <w:r>
                <w:rPr>
                  <w:rFonts w:ascii="Arial" w:cs="Arial" w:eastAsia="Arial" w:hAnsi="Arial"/>
                  <w:sz w:val="18"/>
                  <w:szCs w:val="18"/>
                  <w:color w:val="0000FF"/>
                  <w:w w:val="85"/>
                </w:rPr>
                <w:t>and among the Company, the Partnership and the other persons</w:t>
              </w:r>
            </w:hyperlink>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10.6</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780" w:type="dxa"/>
            <w:vAlign w:val="bottom"/>
            <w:tcBorders>
              <w:bottom w:val="single" w:sz="8" w:color="0000FF"/>
            </w:tcBorders>
            <w:gridSpan w:val="5"/>
          </w:tcPr>
          <w:p>
            <w:pPr>
              <w:spacing w:after="0" w:line="156" w:lineRule="exact"/>
              <w:rPr>
                <w:rFonts w:ascii="Arial" w:cs="Arial" w:eastAsia="Arial" w:hAnsi="Arial"/>
                <w:sz w:val="18"/>
                <w:szCs w:val="18"/>
                <w:color w:val="0000FF"/>
                <w:w w:val="88"/>
              </w:rPr>
            </w:pPr>
            <w:hyperlink r:id="rId90">
              <w:r>
                <w:rPr>
                  <w:rFonts w:ascii="Arial" w:cs="Arial" w:eastAsia="Arial" w:hAnsi="Arial"/>
                  <w:sz w:val="18"/>
                  <w:szCs w:val="18"/>
                  <w:color w:val="0000FF"/>
                  <w:w w:val="88"/>
                </w:rPr>
                <w:t>and entities party thereto</w:t>
              </w:r>
            </w:hyperlink>
          </w:p>
        </w:tc>
        <w:tc>
          <w:tcPr>
            <w:tcW w:w="27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20" w:type="dxa"/>
            <w:vAlign w:val="bottom"/>
          </w:tcPr>
          <w:p>
            <w:pPr>
              <w:ind w:left="2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10.7</w:t>
              </w:r>
            </w:hyperlink>
          </w:p>
        </w:tc>
        <w:tc>
          <w:tcPr>
            <w:tcW w:w="4740" w:type="dxa"/>
            <w:vAlign w:val="bottom"/>
            <w:gridSpan w:val="30"/>
          </w:tcPr>
          <w:p>
            <w:pPr>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StepStone Group Inc. 2020 Long-Term Incentive Plan</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line="190" w:lineRule="exact"/>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10.8</w:t>
              </w:r>
            </w:hyperlink>
          </w:p>
        </w:tc>
        <w:tc>
          <w:tcPr>
            <w:tcW w:w="4740" w:type="dxa"/>
            <w:vAlign w:val="bottom"/>
            <w:gridSpan w:val="30"/>
          </w:tcPr>
          <w:p>
            <w:pPr>
              <w:spacing w:after="0" w:line="190" w:lineRule="exact"/>
              <w:rPr>
                <w:rFonts w:ascii="Arial" w:cs="Arial" w:eastAsia="Arial" w:hAnsi="Arial"/>
                <w:sz w:val="18"/>
                <w:szCs w:val="18"/>
                <w:color w:val="0000FF"/>
                <w:w w:val="94"/>
              </w:rPr>
            </w:pPr>
            <w:hyperlink r:id="rId92">
              <w:r>
                <w:rPr>
                  <w:rFonts w:ascii="Arial" w:cs="Arial" w:eastAsia="Arial" w:hAnsi="Arial"/>
                  <w:sz w:val="18"/>
                  <w:szCs w:val="18"/>
                  <w:color w:val="0000FF"/>
                  <w:w w:val="94"/>
                </w:rPr>
                <w:t>Form of Indemnification Agreement to be entered into between</w:t>
              </w:r>
            </w:hyperlink>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10.9</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8/24/2020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20" w:type="dxa"/>
            <w:vAlign w:val="bottom"/>
          </w:tcPr>
          <w:p>
            <w:pPr>
              <w:spacing w:after="0"/>
              <w:rPr>
                <w:sz w:val="16"/>
                <w:szCs w:val="16"/>
                <w:color w:val="auto"/>
              </w:rPr>
            </w:pPr>
          </w:p>
        </w:tc>
        <w:tc>
          <w:tcPr>
            <w:tcW w:w="458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w w:val="94"/>
              </w:rPr>
            </w:pPr>
            <w:hyperlink r:id="rId92">
              <w:r>
                <w:rPr>
                  <w:rFonts w:ascii="Arial" w:cs="Arial" w:eastAsia="Arial" w:hAnsi="Arial"/>
                  <w:sz w:val="18"/>
                  <w:szCs w:val="18"/>
                  <w:u w:val="single" w:color="auto"/>
                  <w:color w:val="0000FF"/>
                  <w:w w:val="94"/>
                </w:rPr>
                <w:t>StepStone Group Inc. and certain of its directors and officers</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6"/>
          </w:tcPr>
          <w:p>
            <w:pPr>
              <w:spacing w:after="0"/>
              <w:rPr>
                <w:sz w:val="16"/>
                <w:szCs w:val="16"/>
                <w:color w:val="auto"/>
              </w:rPr>
            </w:pPr>
          </w:p>
        </w:tc>
        <w:tc>
          <w:tcPr>
            <w:tcW w:w="8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line="190"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31.1</w:t>
              </w:r>
            </w:hyperlink>
          </w:p>
        </w:tc>
        <w:tc>
          <w:tcPr>
            <w:tcW w:w="4740" w:type="dxa"/>
            <w:vAlign w:val="bottom"/>
            <w:gridSpan w:val="30"/>
          </w:tcPr>
          <w:p>
            <w:pPr>
              <w:spacing w:after="0" w:line="190" w:lineRule="exact"/>
              <w:rPr>
                <w:rFonts w:ascii="Arial" w:cs="Arial" w:eastAsia="Arial" w:hAnsi="Arial"/>
                <w:sz w:val="18"/>
                <w:szCs w:val="18"/>
                <w:color w:val="0000FF"/>
              </w:rPr>
            </w:pPr>
            <w:hyperlink w:anchor="page69">
              <w:r>
                <w:rPr>
                  <w:rFonts w:ascii="Arial" w:cs="Arial" w:eastAsia="Arial" w:hAnsi="Arial"/>
                  <w:sz w:val="18"/>
                  <w:szCs w:val="18"/>
                  <w:color w:val="0000FF"/>
                </w:rPr>
                <w:t>Certification of Co-Chief Executive Officer pursuant to</w:t>
              </w:r>
            </w:hyperlink>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39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Exchange Act, as amended</w:t>
              </w:r>
            </w:hyperlink>
          </w:p>
        </w:tc>
        <w:tc>
          <w:tcPr>
            <w:tcW w:w="440" w:type="dxa"/>
            <w:vAlign w:val="bottom"/>
            <w:gridSpan w:val="5"/>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31.2</w:t>
              </w:r>
            </w:hyperlink>
          </w:p>
        </w:tc>
        <w:tc>
          <w:tcPr>
            <w:tcW w:w="4740" w:type="dxa"/>
            <w:vAlign w:val="bottom"/>
            <w:gridSpan w:val="30"/>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Co-Chief Executive Officer pursuant to</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39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Exchange Act, as amended</w:t>
              </w:r>
            </w:hyperlink>
          </w:p>
        </w:tc>
        <w:tc>
          <w:tcPr>
            <w:tcW w:w="440" w:type="dxa"/>
            <w:vAlign w:val="bottom"/>
            <w:gridSpan w:val="5"/>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31.3</w:t>
              </w:r>
            </w:hyperlink>
          </w:p>
        </w:tc>
        <w:tc>
          <w:tcPr>
            <w:tcW w:w="4740" w:type="dxa"/>
            <w:vAlign w:val="bottom"/>
            <w:gridSpan w:val="30"/>
          </w:tcPr>
          <w:p>
            <w:pPr>
              <w:spacing w:after="0"/>
              <w:rPr>
                <w:rFonts w:ascii="Arial" w:cs="Arial" w:eastAsia="Arial" w:hAnsi="Arial"/>
                <w:sz w:val="18"/>
                <w:szCs w:val="18"/>
                <w:color w:val="0000FF"/>
                <w:w w:val="98"/>
              </w:rPr>
            </w:pPr>
            <w:hyperlink w:anchor="page71">
              <w:r>
                <w:rPr>
                  <w:rFonts w:ascii="Arial" w:cs="Arial" w:eastAsia="Arial" w:hAnsi="Arial"/>
                  <w:sz w:val="18"/>
                  <w:szCs w:val="18"/>
                  <w:color w:val="0000FF"/>
                  <w:w w:val="98"/>
                </w:rPr>
                <w:t>Certification of Chief Financial Officer pursuant to Exchange</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4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Act, as amended</w:t>
              </w:r>
            </w:hyperlink>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32.1</w:t>
              </w:r>
            </w:hyperlink>
          </w:p>
        </w:tc>
        <w:tc>
          <w:tcPr>
            <w:tcW w:w="4740" w:type="dxa"/>
            <w:vAlign w:val="bottom"/>
            <w:gridSpan w:val="30"/>
          </w:tcPr>
          <w:p>
            <w:pPr>
              <w:spacing w:after="0"/>
              <w:rPr>
                <w:rFonts w:ascii="Arial" w:cs="Arial" w:eastAsia="Arial" w:hAnsi="Arial"/>
                <w:sz w:val="18"/>
                <w:szCs w:val="18"/>
                <w:color w:val="0000FF"/>
                <w:w w:val="95"/>
              </w:rPr>
            </w:pPr>
            <w:hyperlink w:anchor="page72">
              <w:r>
                <w:rPr>
                  <w:rFonts w:ascii="Arial" w:cs="Arial" w:eastAsia="Arial" w:hAnsi="Arial"/>
                  <w:sz w:val="18"/>
                  <w:szCs w:val="18"/>
                  <w:color w:val="0000FF"/>
                  <w:w w:val="95"/>
                </w:rPr>
                <w:t>Certification of Co-Chief Executive Officer pursuant to Section</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906 of the Sarbanes-Oxley Act of 2002</w:t>
              </w:r>
            </w:hyperlink>
          </w:p>
        </w:tc>
        <w:tc>
          <w:tcPr>
            <w:tcW w:w="1780" w:type="dxa"/>
            <w:vAlign w:val="bottom"/>
            <w:tcBorders>
              <w:top w:val="single" w:sz="8" w:color="0000FF"/>
            </w:tcBorders>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32.2</w:t>
              </w:r>
            </w:hyperlink>
          </w:p>
        </w:tc>
        <w:tc>
          <w:tcPr>
            <w:tcW w:w="4740" w:type="dxa"/>
            <w:vAlign w:val="bottom"/>
            <w:gridSpan w:val="30"/>
          </w:tcPr>
          <w:p>
            <w:pPr>
              <w:spacing w:after="0"/>
              <w:rPr>
                <w:rFonts w:ascii="Arial" w:cs="Arial" w:eastAsia="Arial" w:hAnsi="Arial"/>
                <w:sz w:val="18"/>
                <w:szCs w:val="18"/>
                <w:color w:val="0000FF"/>
                <w:w w:val="95"/>
              </w:rPr>
            </w:pPr>
            <w:hyperlink w:anchor="page73">
              <w:r>
                <w:rPr>
                  <w:rFonts w:ascii="Arial" w:cs="Arial" w:eastAsia="Arial" w:hAnsi="Arial"/>
                  <w:sz w:val="18"/>
                  <w:szCs w:val="18"/>
                  <w:color w:val="0000FF"/>
                  <w:w w:val="95"/>
                </w:rPr>
                <w:t>Certification of Co-Chief Executive Officer pursuant to Section</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6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906 of the Sarbanes-Oxley Act of 2002</w:t>
              </w:r>
            </w:hyperlink>
          </w:p>
        </w:tc>
        <w:tc>
          <w:tcPr>
            <w:tcW w:w="12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gridSpan w:val="1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32.3</w:t>
              </w:r>
            </w:hyperlink>
          </w:p>
        </w:tc>
        <w:tc>
          <w:tcPr>
            <w:tcW w:w="4740" w:type="dxa"/>
            <w:vAlign w:val="bottom"/>
            <w:gridSpan w:val="30"/>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Certification of Chief Financial Officer pursuant to Section 906</w:t>
              </w:r>
            </w:hyperlink>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6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of the Sarbanes-Oxley Act of 2002</w:t>
              </w:r>
            </w:hyperlink>
          </w:p>
        </w:tc>
        <w:tc>
          <w:tcPr>
            <w:tcW w:w="140" w:type="dxa"/>
            <w:vAlign w:val="bottom"/>
            <w:gridSpan w:val="7"/>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20" w:type="dxa"/>
            <w:vAlign w:val="bottom"/>
          </w:tcPr>
          <w:p>
            <w:pPr>
              <w:ind w:left="20"/>
              <w:spacing w:after="0"/>
              <w:rPr>
                <w:sz w:val="20"/>
                <w:szCs w:val="20"/>
                <w:color w:val="auto"/>
              </w:rPr>
            </w:pPr>
            <w:r>
              <w:rPr>
                <w:rFonts w:ascii="Arial" w:cs="Arial" w:eastAsia="Arial" w:hAnsi="Arial"/>
                <w:sz w:val="18"/>
                <w:szCs w:val="18"/>
                <w:color w:val="auto"/>
              </w:rPr>
              <w:t>101</w:t>
            </w:r>
          </w:p>
        </w:tc>
        <w:tc>
          <w:tcPr>
            <w:tcW w:w="25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Interactive Data File</w:t>
            </w:r>
          </w:p>
        </w:tc>
        <w:tc>
          <w:tcPr>
            <w:tcW w:w="2240" w:type="dxa"/>
            <w:vAlign w:val="bottom"/>
            <w:gridSpan w:val="22"/>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104</w:t>
            </w:r>
          </w:p>
        </w:tc>
        <w:tc>
          <w:tcPr>
            <w:tcW w:w="4740" w:type="dxa"/>
            <w:vAlign w:val="bottom"/>
            <w:gridSpan w:val="30"/>
          </w:tcPr>
          <w:p>
            <w:pPr>
              <w:spacing w:after="0"/>
              <w:rPr>
                <w:sz w:val="20"/>
                <w:szCs w:val="20"/>
                <w:color w:val="auto"/>
              </w:rPr>
            </w:pPr>
            <w:r>
              <w:rPr>
                <w:rFonts w:ascii="Arial" w:cs="Arial" w:eastAsia="Arial" w:hAnsi="Arial"/>
                <w:sz w:val="18"/>
                <w:szCs w:val="18"/>
                <w:color w:val="auto"/>
              </w:rPr>
              <w:t>Cover Page Interactive Data File</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left="1220" w:hanging="1194"/>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51"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November 12, 2020</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80"/>
          </w:cols>
          <w:pgMar w:left="320" w:top="1440" w:right="69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Monte Brem, certify that:</w:t>
      </w:r>
    </w:p>
    <w:p>
      <w:pPr>
        <w:spacing w:after="0" w:line="216" w:lineRule="exact"/>
        <w:rPr>
          <w:sz w:val="20"/>
          <w:szCs w:val="20"/>
          <w:color w:val="auto"/>
        </w:rPr>
      </w:pPr>
    </w:p>
    <w:p>
      <w:pPr>
        <w:ind w:left="860" w:hanging="204"/>
        <w:spacing w:after="0"/>
        <w:tabs>
          <w:tab w:leader="none" w:pos="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120" w:hanging="4"/>
        <w:spacing w:after="0" w:line="250" w:lineRule="auto"/>
        <w:tabs>
          <w:tab w:leader="none" w:pos="858"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140" w:hanging="4"/>
        <w:spacing w:after="0" w:line="260" w:lineRule="auto"/>
        <w:tabs>
          <w:tab w:leader="none" w:pos="85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60" w:firstLine="4"/>
        <w:spacing w:after="0" w:line="291" w:lineRule="auto"/>
        <w:tabs>
          <w:tab w:leader="none" w:pos="14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4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firstLine="4"/>
        <w:spacing w:after="0" w:line="250" w:lineRule="auto"/>
        <w:tabs>
          <w:tab w:leader="none" w:pos="1487" w:val="left"/>
        </w:tabs>
        <w:numPr>
          <w:ilvl w:val="1"/>
          <w:numId w:val="4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240" w:hanging="4"/>
        <w:spacing w:after="0" w:line="250" w:lineRule="auto"/>
        <w:tabs>
          <w:tab w:leader="none" w:pos="85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4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November 12, 2020</w:t>
            </w:r>
          </w:p>
        </w:tc>
        <w:tc>
          <w:tcPr>
            <w:tcW w:w="7620" w:type="dxa"/>
            <w:vAlign w:val="bottom"/>
            <w:gridSpan w:val="2"/>
          </w:tcPr>
          <w:p>
            <w:pPr>
              <w:ind w:left="1560"/>
              <w:spacing w:after="0"/>
              <w:rPr>
                <w:sz w:val="20"/>
                <w:szCs w:val="20"/>
                <w:color w:val="auto"/>
              </w:rPr>
            </w:pPr>
            <w:r>
              <w:rPr>
                <w:rFonts w:ascii="Arial" w:cs="Arial" w:eastAsia="Arial" w:hAnsi="Arial"/>
                <w:sz w:val="20"/>
                <w:szCs w:val="20"/>
                <w:color w:val="auto"/>
              </w:rPr>
              <w:t>By: /s/ Monte Brem</w:t>
            </w:r>
          </w:p>
        </w:tc>
      </w:tr>
      <w:tr>
        <w:trPr>
          <w:trHeight w:val="233"/>
        </w:trPr>
        <w:tc>
          <w:tcPr>
            <w:tcW w:w="3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Monte Brem</w:t>
            </w:r>
          </w:p>
        </w:tc>
      </w:tr>
      <w:tr>
        <w:trPr>
          <w:trHeight w:val="243"/>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Scott Hart, certify that:</w:t>
      </w:r>
    </w:p>
    <w:p>
      <w:pPr>
        <w:spacing w:after="0" w:line="216" w:lineRule="exact"/>
        <w:rPr>
          <w:sz w:val="20"/>
          <w:szCs w:val="20"/>
          <w:color w:val="auto"/>
        </w:rPr>
      </w:pPr>
    </w:p>
    <w:p>
      <w:pPr>
        <w:ind w:left="860" w:hanging="204"/>
        <w:spacing w:after="0"/>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120" w:hanging="4"/>
        <w:spacing w:after="0" w:line="250" w:lineRule="auto"/>
        <w:tabs>
          <w:tab w:leader="none" w:pos="8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140" w:hanging="4"/>
        <w:spacing w:after="0" w:line="260" w:lineRule="auto"/>
        <w:tabs>
          <w:tab w:leader="none" w:pos="8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60" w:firstLine="4"/>
        <w:spacing w:after="0" w:line="291" w:lineRule="auto"/>
        <w:tabs>
          <w:tab w:leader="none" w:pos="14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4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firstLine="4"/>
        <w:spacing w:after="0" w:line="250" w:lineRule="auto"/>
        <w:tabs>
          <w:tab w:leader="none" w:pos="1487" w:val="left"/>
        </w:tabs>
        <w:numPr>
          <w:ilvl w:val="1"/>
          <w:numId w:val="4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240" w:hanging="4"/>
        <w:spacing w:after="0" w:line="250" w:lineRule="auto"/>
        <w:tabs>
          <w:tab w:leader="none" w:pos="8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4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November 12, 2020</w:t>
            </w:r>
          </w:p>
        </w:tc>
        <w:tc>
          <w:tcPr>
            <w:tcW w:w="7620" w:type="dxa"/>
            <w:vAlign w:val="bottom"/>
            <w:gridSpan w:val="2"/>
          </w:tcPr>
          <w:p>
            <w:pPr>
              <w:ind w:left="1560"/>
              <w:spacing w:after="0"/>
              <w:rPr>
                <w:sz w:val="20"/>
                <w:szCs w:val="20"/>
                <w:color w:val="auto"/>
              </w:rPr>
            </w:pPr>
            <w:r>
              <w:rPr>
                <w:rFonts w:ascii="Arial" w:cs="Arial" w:eastAsia="Arial" w:hAnsi="Arial"/>
                <w:sz w:val="20"/>
                <w:szCs w:val="20"/>
                <w:color w:val="auto"/>
              </w:rPr>
              <w:t>By: /s/ Scott Hart</w:t>
            </w:r>
          </w:p>
        </w:tc>
      </w:tr>
      <w:tr>
        <w:trPr>
          <w:trHeight w:val="233"/>
        </w:trPr>
        <w:tc>
          <w:tcPr>
            <w:tcW w:w="3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Hart</w:t>
            </w:r>
          </w:p>
        </w:tc>
      </w:tr>
      <w:tr>
        <w:trPr>
          <w:trHeight w:val="243"/>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70" w:name="page71"/>
    <w:bookmarkEnd w:id="70"/>
    <w:p>
      <w:pPr>
        <w:ind w:left="10000"/>
        <w:spacing w:after="0"/>
        <w:rPr>
          <w:sz w:val="20"/>
          <w:szCs w:val="20"/>
          <w:color w:val="auto"/>
        </w:rPr>
      </w:pPr>
      <w:r>
        <w:rPr>
          <w:rFonts w:ascii="Arial" w:cs="Arial" w:eastAsia="Arial" w:hAnsi="Arial"/>
          <w:sz w:val="20"/>
          <w:szCs w:val="20"/>
          <w:b w:val="1"/>
          <w:bCs w:val="1"/>
          <w:color w:val="auto"/>
        </w:rPr>
        <w:t>EXHIBIT 31.3</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 Johnny Randel, certify that:</w:t>
      </w:r>
    </w:p>
    <w:p>
      <w:pPr>
        <w:spacing w:after="0" w:line="216" w:lineRule="exact"/>
        <w:rPr>
          <w:sz w:val="20"/>
          <w:szCs w:val="20"/>
          <w:color w:val="auto"/>
        </w:rPr>
      </w:pPr>
    </w:p>
    <w:p>
      <w:pPr>
        <w:ind w:left="860" w:hanging="204"/>
        <w:spacing w:after="0"/>
        <w:tabs>
          <w:tab w:leader="none" w:pos="8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120" w:hanging="4"/>
        <w:spacing w:after="0" w:line="250" w:lineRule="auto"/>
        <w:tabs>
          <w:tab w:leader="none" w:pos="858"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140" w:hanging="4"/>
        <w:spacing w:after="0" w:line="260" w:lineRule="auto"/>
        <w:tabs>
          <w:tab w:leader="none" w:pos="85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60" w:firstLine="4"/>
        <w:spacing w:after="0" w:line="291" w:lineRule="auto"/>
        <w:tabs>
          <w:tab w:leader="none" w:pos="14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firstLine="4"/>
        <w:spacing w:after="0" w:line="250" w:lineRule="auto"/>
        <w:tabs>
          <w:tab w:leader="none" w:pos="1487" w:val="left"/>
        </w:tabs>
        <w:numPr>
          <w:ilvl w:val="1"/>
          <w:numId w:val="4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240" w:hanging="4"/>
        <w:spacing w:after="0" w:line="250" w:lineRule="auto"/>
        <w:tabs>
          <w:tab w:leader="none" w:pos="85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4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4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November 12, 2020</w:t>
            </w:r>
          </w:p>
        </w:tc>
        <w:tc>
          <w:tcPr>
            <w:tcW w:w="7620" w:type="dxa"/>
            <w:vAlign w:val="bottom"/>
            <w:gridSpan w:val="2"/>
          </w:tcPr>
          <w:p>
            <w:pPr>
              <w:ind w:left="1560"/>
              <w:spacing w:after="0"/>
              <w:rPr>
                <w:sz w:val="20"/>
                <w:szCs w:val="20"/>
                <w:color w:val="auto"/>
              </w:rPr>
            </w:pPr>
            <w:r>
              <w:rPr>
                <w:rFonts w:ascii="Arial" w:cs="Arial" w:eastAsia="Arial" w:hAnsi="Arial"/>
                <w:sz w:val="20"/>
                <w:szCs w:val="20"/>
                <w:color w:val="auto"/>
              </w:rPr>
              <w:t>By: /s/ Johnny Randel</w:t>
            </w:r>
          </w:p>
        </w:tc>
      </w:tr>
      <w:tr>
        <w:trPr>
          <w:trHeight w:val="233"/>
        </w:trPr>
        <w:tc>
          <w:tcPr>
            <w:tcW w:w="3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Randel</w:t>
            </w:r>
          </w:p>
        </w:tc>
      </w:tr>
      <w:tr>
        <w:trPr>
          <w:trHeight w:val="243"/>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0"/>
        </w:trPr>
        <w:tc>
          <w:tcPr>
            <w:tcW w:w="3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2020, as filed with the Securities and Exchange Commission (the “SEC”) on or about the date hereof (the “Report”), I, Monte Brem,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Dated: November 12, 2020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Monte Brem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Monte Brem</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Co-Chief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208"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on request.</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2020, as filed with the Securities and Exchange Commission (the “SEC”) on or about the date hereof (the “Report”), I, Scott Hart,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Dated: November 12, 2020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Co-Chief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208"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on request.</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32.3</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2020, as filed with the Securities and Exchange Commission (the “SEC”) on or about the date hereof (the “Report”), I, Johnny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Dated: November 12, 2020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208"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endash "/>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4"/>
    </w:lvl>
  </w:abstractNum>
  <w:abstractNum w:abstractNumId="11">
    <w:nsid w:val="836C40E"/>
    <w:multiLevelType w:val="hybridMultilevel"/>
    <w:lvl w:ilvl="0">
      <w:lvlJc w:val="left"/>
      <w:lvlText w:val="%1."/>
      <w:numFmt w:val="decimal"/>
      <w:start w:val="14"/>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2"/>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lvl w:ilvl="1">
      <w:lvlJc w:val="left"/>
      <w:lvlText w:val="%2."/>
      <w:numFmt w:val="lowerRoman"/>
      <w:start w:val="1"/>
    </w:lvl>
  </w:abstractNum>
  <w:abstractNum w:abstractNumId="29">
    <w:nsid w:val="7724C67E"/>
    <w:multiLevelType w:val="hybridMultilevel"/>
    <w:lvl w:ilvl="0">
      <w:lvlJc w:val="left"/>
      <w:lvlText w:val="(%1)"/>
      <w:numFmt w:val="decimal"/>
      <w:start w:val="3"/>
    </w:lvl>
  </w:abstractNum>
  <w:abstractNum w:abstractNumId="30">
    <w:nsid w:val="5C482A97"/>
    <w:multiLevelType w:val="hybridMultilevel"/>
    <w:lvl w:ilvl="0">
      <w:lvlJc w:val="left"/>
      <w:lvlText w:val="(%1)"/>
      <w:numFmt w:val="decimal"/>
      <w:start w:val="4"/>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2"/>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83" Type="http://schemas.openxmlformats.org/officeDocument/2006/relationships/hyperlink" Target="https://www.sec.gov/Archives/edgar/data/1796022/000119312520248881/d23934dex31.htm" TargetMode="External"/><Relationship Id="rId84" Type="http://schemas.openxmlformats.org/officeDocument/2006/relationships/hyperlink" Target="https://www.sec.gov/Archives/edgar/data/1796022/000119312520248881/d23934dex32.htm" TargetMode="External"/><Relationship Id="rId85" Type="http://schemas.openxmlformats.org/officeDocument/2006/relationships/hyperlink" Target="https://www.sec.gov/Archives/edgar/data/1796022/000119312520248881/d23934dex101.htm" TargetMode="External"/><Relationship Id="rId86" Type="http://schemas.openxmlformats.org/officeDocument/2006/relationships/hyperlink" Target="https://www.sec.gov/Archives/edgar/data/1796022/000119312520248881/d23934dex102.htm" TargetMode="External"/><Relationship Id="rId87" Type="http://schemas.openxmlformats.org/officeDocument/2006/relationships/hyperlink" Target="https://www.sec.gov/Archives/edgar/data/1796022/000119312520248881/d23934dex103.htm" TargetMode="External"/><Relationship Id="rId88" Type="http://schemas.openxmlformats.org/officeDocument/2006/relationships/hyperlink" Target="https://www.sec.gov/Archives/edgar/data/1796022/000119312520248881/d23934dex104.htm" TargetMode="External"/><Relationship Id="rId89" Type="http://schemas.openxmlformats.org/officeDocument/2006/relationships/hyperlink" Target="https://www.sec.gov/Archives/edgar/data/1796022/000119312520248881/d23934dex105.htm" TargetMode="External"/><Relationship Id="rId90" Type="http://schemas.openxmlformats.org/officeDocument/2006/relationships/hyperlink" Target="https://www.sec.gov/Archives/edgar/data/1796022/000119312520248881/d23934dex106.htm" TargetMode="External"/><Relationship Id="rId91" Type="http://schemas.openxmlformats.org/officeDocument/2006/relationships/hyperlink" Target="https://www.sec.gov/Archives/edgar/data/1796022/000119312520248881/d23934dex107.htm" TargetMode="External"/><Relationship Id="rId92" Type="http://schemas.openxmlformats.org/officeDocument/2006/relationships/hyperlink" Target="https://www.sec.gov/Archives/edgar/data/1796022/000119312520228520/d828990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2020-11-12T15:31:09Z</dcterms:created>
  <dcterms:modified xsi:type="dcterms:W3CDTF">2020-11-12T15:31:09Z</dcterms:modified>
</cp:coreProperties>
</file>