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380" w:hanging="314"/>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_______________________ to 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2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5220" w:type="dxa"/>
            <w:vAlign w:val="bottom"/>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5220" w:type="dxa"/>
            <w:vAlign w:val="bottom"/>
          </w:tcPr>
          <w:p>
            <w:pPr>
              <w:spacing w:after="0"/>
              <w:rPr>
                <w:sz w:val="24"/>
                <w:szCs w:val="24"/>
                <w:color w:val="auto"/>
              </w:rPr>
            </w:pPr>
          </w:p>
        </w:tc>
      </w:tr>
      <w:tr>
        <w:trPr>
          <w:trHeight w:val="190"/>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500"/>
        </w:trPr>
        <w:tc>
          <w:tcPr>
            <w:tcW w:w="2520" w:type="dxa"/>
            <w:vAlign w:val="bottom"/>
          </w:tcPr>
          <w:p>
            <w:pPr>
              <w:spacing w:after="0"/>
              <w:rPr>
                <w:sz w:val="24"/>
                <w:szCs w:val="24"/>
                <w:color w:val="auto"/>
              </w:rPr>
            </w:pPr>
          </w:p>
        </w:tc>
        <w:tc>
          <w:tcPr>
            <w:tcW w:w="5220" w:type="dxa"/>
            <w:vAlign w:val="bottom"/>
          </w:tcPr>
          <w:p>
            <w:pPr>
              <w:jc w:val="right"/>
              <w:ind w:right="3028"/>
              <w:spacing w:after="0"/>
              <w:rPr>
                <w:sz w:val="20"/>
                <w:szCs w:val="20"/>
                <w:color w:val="auto"/>
              </w:rPr>
            </w:pPr>
            <w:r>
              <w:rPr>
                <w:rFonts w:ascii="Times New Roman" w:cs="Times New Roman" w:eastAsia="Times New Roman" w:hAnsi="Times New Roman"/>
                <w:sz w:val="14"/>
                <w:szCs w:val="14"/>
                <w:b w:val="1"/>
                <w:bCs w:val="1"/>
                <w:color w:val="auto"/>
              </w:rPr>
              <w:t>(212) 351-6100</w:t>
            </w:r>
          </w:p>
        </w:tc>
      </w:tr>
    </w:tbl>
    <w:p>
      <w:pPr>
        <w:spacing w:after="0" w:line="20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4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2" w:lineRule="exact"/>
        <w:rPr>
          <w:sz w:val="24"/>
          <w:szCs w:val="24"/>
          <w:color w:val="auto"/>
        </w:rPr>
      </w:pPr>
    </w:p>
    <w:tbl>
      <w:tblPr>
        <w:tblLayout w:type="fixed"/>
        <w:tblInd w:w="1540" w:type="dxa"/>
        <w:tblCellMar>
          <w:top w:w="0" w:type="dxa"/>
          <w:left w:w="0" w:type="dxa"/>
          <w:bottom w:w="0" w:type="dxa"/>
          <w:right w:w="0" w:type="dxa"/>
        </w:tblCellMar>
      </w:tblPr>
      <w:tr>
        <w:trPr>
          <w:trHeight w:val="188"/>
        </w:trPr>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6"/>
        </w:trPr>
        <w:tc>
          <w:tcPr>
            <w:tcW w:w="11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August 5, 2025, there were 78,552,912 shares of the registrant’s Class A common stock, par value $0.001, and 39,504,186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60" w:type="dxa"/>
            <w:vAlign w:val="bottom"/>
            <w:gridSpan w:val="10"/>
            <w:shd w:val="clear" w:color="auto" w:fill="CCEEFF"/>
          </w:tcPr>
          <w:p>
            <w:pPr>
              <w:jc w:val="center"/>
              <w:ind w:right="16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June 30, 2025 and March 31, 2025</w:t>
            </w:r>
          </w:p>
        </w:tc>
        <w:tc>
          <w:tcPr>
            <w:tcW w:w="3580" w:type="dxa"/>
            <w:vAlign w:val="bottom"/>
            <w:tcBorders>
              <w:bottom w:val="single" w:sz="8" w:color="CCEEFF"/>
            </w:tcBorders>
            <w:gridSpan w:val="6"/>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(Loss) for the Three Months Ended June 30, 2025 and 2024</w:t>
            </w:r>
          </w:p>
        </w:tc>
        <w:tc>
          <w:tcPr>
            <w:tcW w:w="7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June 30, 2025 and 2024</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9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June 30, 2025 and 2024</w:t>
            </w:r>
          </w:p>
        </w:tc>
        <w:tc>
          <w:tcPr>
            <w:tcW w:w="520" w:type="dxa"/>
            <w:vAlign w:val="bottom"/>
          </w:tcPr>
          <w:p>
            <w:pPr>
              <w:spacing w:after="0"/>
              <w:rPr>
                <w:sz w:val="16"/>
                <w:szCs w:val="16"/>
                <w:color w:val="auto"/>
              </w:rPr>
            </w:pPr>
          </w:p>
        </w:tc>
        <w:tc>
          <w:tcPr>
            <w:tcW w:w="7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June 30, 2025 and 2024</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54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00" w:type="dxa"/>
            <w:vAlign w:val="bottom"/>
            <w:tcBorders>
              <w:top w:val="single" w:sz="8" w:color="CCEEFF"/>
            </w:tcBorders>
            <w:gridSpan w:val="4"/>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920" w:type="dxa"/>
            <w:vAlign w:val="bottom"/>
            <w:tcBorders>
              <w:bottom w:val="single" w:sz="8" w:color="CCEEFF"/>
            </w:tcBorders>
            <w:gridSpan w:val="5"/>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7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060" w:type="dxa"/>
            <w:vAlign w:val="bottom"/>
            <w:tcBorders>
              <w:top w:val="single" w:sz="8" w:color="CCEEFF"/>
            </w:tcBorders>
            <w:gridSpan w:val="10"/>
          </w:tcPr>
          <w:p>
            <w:pPr>
              <w:jc w:val="center"/>
              <w:ind w:right="16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04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040" w:type="dxa"/>
            <w:vAlign w:val="bottom"/>
            <w:tcBorders>
              <w:top w:val="single" w:sz="8" w:color="CCEEFF"/>
            </w:tcBorders>
            <w:gridSpan w:val="7"/>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620" w:type="dxa"/>
            <w:vAlign w:val="bottom"/>
            <w:tcBorders>
              <w:top w:val="single" w:sz="8" w:color="CCEEFF"/>
            </w:tcBorders>
            <w:gridSpan w:val="11"/>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78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780" w:type="dxa"/>
            <w:vAlign w:val="bottom"/>
            <w:tcBorders>
              <w:top w:val="single" w:sz="8" w:color="CCEEFF"/>
            </w:tcBorders>
            <w:gridSpan w:val="16"/>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86</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660" w:right="200" w:hanging="4"/>
        <w:spacing w:after="0" w:line="270"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2025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0"/>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191,469</w:t>
            </w:r>
          </w:p>
        </w:tc>
        <w:tc>
          <w:tcPr>
            <w:tcW w:w="4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244,791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90,508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105,217</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92,723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202,679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183,694</w:t>
            </w: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1,585,209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1,495,664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663,580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629,228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403,321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382,886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89,092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253,665</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263,872</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52,662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493,506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415,011</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4,782,411</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84,035</w:t>
            </w:r>
          </w:p>
        </w:tc>
        <w:tc>
          <w:tcPr>
            <w:tcW w:w="46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943,007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736,695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802,308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757,968</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529,248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495,739</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341,813</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331,821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112,484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269,594</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269,268</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17,580</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3,084,999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2,812,321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459,927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377,897</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Class A common stock, $0.001 par value, 650,000,000 authorized; 78,552,912 and 76,761,399 issued and outstanding as of June 30, 2025 and March 31, 2025,</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21"/>
        </w:trPr>
        <w:tc>
          <w:tcPr>
            <w:tcW w:w="81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Class B common stock, $0.001 par value, 125,000,000 authorized; 39,504,186 and 39,656,954 issued and outstanding as of June 30, 2025 and March 31, 2025,</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484,859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(331,990)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63"/>
        </w:trPr>
        <w:tc>
          <w:tcPr>
            <w:tcW w:w="81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153,932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179,356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946,033</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1,056,510</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134,332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1,230,579</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4,782,411</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2 and 5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95,909</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493,506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1,525,854</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32,341</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891,928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699,015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1,499,919</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(Loss) (Unaudited)</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r>
      <w:tr>
        <w:trPr>
          <w:trHeight w:val="171"/>
        </w:trPr>
        <w:tc>
          <w:tcPr>
            <w:tcW w:w="83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211,173</w:t>
            </w:r>
          </w:p>
        </w:tc>
        <w:tc>
          <w:tcPr>
            <w:tcW w:w="24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178,015</w:t>
            </w: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0"/>
        </w:trPr>
        <w:tc>
          <w:tcPr>
            <w:tcW w:w="8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r>
      <w:tr>
        <w:trPr>
          <w:trHeight w:val="181"/>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0"/>
        </w:trPr>
        <w:tc>
          <w:tcPr>
            <w:tcW w:w="832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41,804</w:t>
            </w:r>
          </w:p>
        </w:tc>
      </w:tr>
      <w:tr>
        <w:trPr>
          <w:trHeight w:val="181"/>
        </w:trPr>
        <w:tc>
          <w:tcPr>
            <w:tcW w:w="8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88,883</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(25,170)</w:t>
            </w:r>
          </w:p>
        </w:tc>
      </w:tr>
      <w:tr>
        <w:trPr>
          <w:trHeight w:val="163"/>
        </w:trPr>
        <w:tc>
          <w:tcPr>
            <w:tcW w:w="8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113,287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16,634</w:t>
            </w:r>
          </w:p>
        </w:tc>
      </w:tr>
      <w:tr>
        <w:trPr>
          <w:trHeight w:val="181"/>
        </w:trPr>
        <w:tc>
          <w:tcPr>
            <w:tcW w:w="832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39,637</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(9,089)</w:t>
            </w:r>
          </w:p>
        </w:tc>
      </w:tr>
      <w:tr>
        <w:trPr>
          <w:trHeight w:val="163"/>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performance fees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153,114</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8,386</w:t>
            </w:r>
          </w:p>
        </w:tc>
      </w:tr>
      <w:tr>
        <w:trPr>
          <w:trHeight w:val="175"/>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364,287</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186,401</w:t>
            </w:r>
          </w:p>
        </w:tc>
      </w:tr>
      <w:tr>
        <w:trPr>
          <w:trHeight w:val="151"/>
        </w:trPr>
        <w:tc>
          <w:tcPr>
            <w:tcW w:w="83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0"/>
        </w:trPr>
        <w:tc>
          <w:tcPr>
            <w:tcW w:w="8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r>
      <w:tr>
        <w:trPr>
          <w:trHeight w:val="181"/>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188,718</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19,179</w:t>
            </w:r>
          </w:p>
        </w:tc>
      </w:tr>
      <w:tr>
        <w:trPr>
          <w:trHeight w:val="170"/>
        </w:trPr>
        <w:tc>
          <w:tcPr>
            <w:tcW w:w="8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8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11,705</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20,848</w:t>
            </w:r>
          </w:p>
        </w:tc>
      </w:tr>
      <w:tr>
        <w:trPr>
          <w:trHeight w:val="170"/>
        </w:trPr>
        <w:tc>
          <w:tcPr>
            <w:tcW w:w="8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44,357</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(10,923)</w:t>
            </w:r>
          </w:p>
        </w:tc>
      </w:tr>
      <w:tr>
        <w:trPr>
          <w:trHeight w:val="17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56,062</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9,925</w:t>
            </w:r>
          </w:p>
        </w:tc>
      </w:tr>
      <w:tr>
        <w:trPr>
          <w:trHeight w:val="175"/>
        </w:trPr>
        <w:tc>
          <w:tcPr>
            <w:tcW w:w="832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39,637</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(9,089)</w:t>
            </w:r>
          </w:p>
        </w:tc>
      </w:tr>
      <w:tr>
        <w:trPr>
          <w:trHeight w:val="16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380,402</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98,239</w:t>
            </w:r>
          </w:p>
        </w:tc>
      </w:tr>
      <w:tr>
        <w:trPr>
          <w:trHeight w:val="17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42,914</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41,011</w:t>
            </w:r>
          </w:p>
        </w:tc>
      </w:tr>
      <w:tr>
        <w:trPr>
          <w:trHeight w:val="17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423,316</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139,250</w:t>
            </w:r>
          </w:p>
        </w:tc>
      </w:tr>
      <w:tr>
        <w:trPr>
          <w:trHeight w:val="151"/>
        </w:trPr>
        <w:tc>
          <w:tcPr>
            <w:tcW w:w="83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r>
      <w:tr>
        <w:trPr>
          <w:trHeight w:val="175"/>
        </w:trPr>
        <w:tc>
          <w:tcPr>
            <w:tcW w:w="832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7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21,671</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7,635</w:t>
            </w:r>
          </w:p>
        </w:tc>
      </w:tr>
      <w:tr>
        <w:trPr>
          <w:trHeight w:val="170"/>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w:t>
            </w: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(4,534)</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r>
      <w:tr>
        <w:trPr>
          <w:trHeight w:val="17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5,152</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17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38,679</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7,691</w:t>
            </w:r>
          </w:p>
        </w:tc>
      </w:tr>
      <w:tr>
        <w:trPr>
          <w:trHeight w:val="163"/>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54,842</w:t>
            </w: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r>
      <w:tr>
        <w:trPr>
          <w:trHeight w:val="163"/>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48,045</w:t>
            </w:r>
          </w:p>
        </w:tc>
      </w:tr>
      <w:tr>
        <w:trPr>
          <w:trHeight w:val="181"/>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28,617</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w:t>
            </w:r>
          </w:p>
        </w:tc>
      </w:tr>
      <w:tr>
        <w:trPr>
          <w:trHeight w:val="175"/>
        </w:trPr>
        <w:tc>
          <w:tcPr>
            <w:tcW w:w="832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rPr>
              <w:t>Less: Net income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7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(27,122)</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13,324</w:t>
            </w:r>
          </w:p>
        </w:tc>
      </w:tr>
      <w:tr>
        <w:trPr>
          <w:trHeight w:val="170"/>
        </w:trPr>
        <w:tc>
          <w:tcPr>
            <w:tcW w:w="8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w:t>
            </w:r>
          </w:p>
        </w:tc>
      </w:tr>
      <w:tr>
        <w:trPr>
          <w:trHeight w:val="17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175"/>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(38,424)</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13,328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70"/>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r>
      <w:tr>
        <w:trPr>
          <w:trHeight w:val="170"/>
        </w:trPr>
        <w:tc>
          <w:tcPr>
            <w:tcW w:w="83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24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0"/>
        </w:trPr>
        <w:tc>
          <w:tcPr>
            <w:tcW w:w="83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77,846,710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66,187,754</w:t>
            </w:r>
          </w:p>
        </w:tc>
      </w:tr>
      <w:tr>
        <w:trPr>
          <w:trHeight w:val="181"/>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77,846,710</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68,593,761</w:t>
            </w:r>
          </w:p>
        </w:tc>
      </w:tr>
    </w:tbl>
    <w:p>
      <w:pPr>
        <w:spacing w:after="0" w:line="292" w:lineRule="exact"/>
        <w:rPr>
          <w:sz w:val="20"/>
          <w:szCs w:val="20"/>
          <w:color w:val="auto"/>
        </w:rPr>
      </w:pPr>
    </w:p>
    <w:p>
      <w:pPr>
        <w:ind w:left="-8" w:right="2300" w:firstLine="8"/>
        <w:spacing w:after="0" w:line="348" w:lineRule="auto"/>
        <w:tabs>
          <w:tab w:leader="none" w:pos="63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2, 3 and 5 for more information. </w:t>
      </w: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48,023</w:t>
            </w:r>
          </w:p>
        </w:tc>
      </w:tr>
      <w:tr>
        <w:trPr>
          <w:trHeight w:val="230"/>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16,605</w:t>
            </w: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legacy Greenspring entities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 Partnership</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Consolidated Funds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r>
      <w:tr>
        <w:trPr>
          <w:trHeight w:val="229"/>
        </w:trPr>
        <w:tc>
          <w:tcPr>
            <w:tcW w:w="8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subsidiaries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1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0" w:type="dxa"/>
            <w:vAlign w:val="bottom"/>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9"/>
                <w:szCs w:val="9"/>
                <w:color w:val="auto"/>
              </w:rPr>
            </w:pPr>
          </w:p>
        </w:tc>
        <w:tc>
          <w:tcPr>
            <w:tcW w:w="1000" w:type="dxa"/>
            <w:vAlign w:val="bottom"/>
            <w:gridSpan w:val="4"/>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8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3"/>
              </w:rPr>
              <w:t>in 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2025</w:t>
            </w:r>
          </w:p>
        </w:tc>
        <w:tc>
          <w:tcPr>
            <w:tcW w:w="180" w:type="dxa"/>
            <w:vAlign w:val="bottom"/>
            <w:tcBorders>
              <w:top w:val="single" w:sz="8" w:color="auto"/>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421,057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(242,546)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1,056,510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133,489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20,793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1,390,148</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(33,547)</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1,940</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4,669</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(63,128)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(51,020)</w:t>
            </w: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Class C and Class D units for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Class A common stock and redemption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corresponding Class B 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(10,339)</w:t>
            </w: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Class A common stock issued for purchase of asset class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74,871</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(118,580)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43,199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(7,367)</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(7,367)</w:t>
            </w:r>
          </w:p>
        </w:tc>
        <w:tc>
          <w:tcPr>
            <w:tcW w:w="0" w:type="dxa"/>
            <w:vAlign w:val="bottom"/>
          </w:tcPr>
          <w:p>
            <w:pPr>
              <w:spacing w:after="0"/>
              <w:rPr>
                <w:sz w:val="1"/>
                <w:szCs w:val="1"/>
                <w:color w:val="auto"/>
              </w:rPr>
            </w:pPr>
          </w:p>
        </w:tc>
      </w:tr>
      <w:tr>
        <w:trPr>
          <w:trHeight w:val="162"/>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2025</w:t>
            </w:r>
          </w:p>
        </w:tc>
        <w:tc>
          <w:tcPr>
            <w:tcW w:w="18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484,859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(331,990)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946,033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134,332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1,230,579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66</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45</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310,293</w:t>
            </w:r>
          </w:p>
        </w:tc>
        <w:tc>
          <w:tcPr>
            <w:tcW w:w="240" w:type="dxa"/>
            <w:vAlign w:val="bottom"/>
            <w:tcBorders>
              <w:bottom w:val="single" w:sz="8" w:color="CCEEFF"/>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13,768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974,559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147,042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1,654,591</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42,012</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7,132</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5,679</w:t>
            </w: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(35,497)</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(24,101)</w:t>
            </w: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 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Vesting of Class B2 units and issuance of corresponding</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stock at par value</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Settlement of non-controlling interests related to awards</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55,579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55,579</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of carried interest allocations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Redemption of redeemable non-controlling interests in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55,879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41,504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97,383</w:t>
            </w:r>
          </w:p>
        </w:tc>
        <w:tc>
          <w:tcPr>
            <w:tcW w:w="0" w:type="dxa"/>
            <w:vAlign w:val="bottom"/>
          </w:tcPr>
          <w:p>
            <w:pPr>
              <w:spacing w:after="0"/>
              <w:rPr>
                <w:sz w:val="1"/>
                <w:szCs w:val="1"/>
                <w:color w:val="auto"/>
              </w:rPr>
            </w:pPr>
          </w:p>
        </w:tc>
      </w:tr>
      <w:tr>
        <w:trPr>
          <w:trHeight w:val="140"/>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subsidiaries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3,763</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7,759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4"/>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(6,376)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(6,376)</w:t>
            </w:r>
          </w:p>
        </w:tc>
        <w:tc>
          <w:tcPr>
            <w:tcW w:w="0" w:type="dxa"/>
            <w:vAlign w:val="bottom"/>
          </w:tcPr>
          <w:p>
            <w:pPr>
              <w:spacing w:after="0"/>
              <w:rPr>
                <w:sz w:val="1"/>
                <w:szCs w:val="1"/>
                <w:color w:val="auto"/>
              </w:rPr>
            </w:pPr>
          </w:p>
        </w:tc>
      </w:tr>
      <w:tr>
        <w:trPr>
          <w:trHeight w:val="162"/>
        </w:trPr>
        <w:tc>
          <w:tcPr>
            <w:tcW w:w="2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2024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363,529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1,027,558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147,536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248,954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1,790,983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2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(income) loss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181,654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9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used in operating activities of Consolidated Funds: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(20,799)</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 of Consolidated Funds</w:t>
            </w:r>
          </w:p>
        </w:tc>
        <w:tc>
          <w:tcPr>
            <w:tcW w:w="9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(32,746)</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10,623</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7"/>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50,170</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(13,212)</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from non-controlling interests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redeemable non-controlling interests</w:t>
            </w:r>
          </w:p>
        </w:tc>
        <w:tc>
          <w:tcPr>
            <w:tcW w:w="36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to legacy Greenspring entities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legacy Greenspring entities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to common stockholders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to related parties under Tax Receivable Agreements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6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 of Consolidated Funds: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redeemable non-controlling interests in Consolidated Funds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Redemptions of redeemable non-controlling interests in Consolidated Funds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(72,222)</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244,655</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196,170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operating, investing, and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65"/>
        </w:trPr>
        <w:tc>
          <w:tcPr>
            <w:tcW w:w="7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Deferred tax effect resulting from transactions affecting ownership in the Partnership, including net amounts</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0" w:type="dxa"/>
            <w:vAlign w:val="bottom"/>
          </w:tcPr>
          <w:p>
            <w:pPr>
              <w:spacing w:after="0"/>
              <w:rPr>
                <w:sz w:val="1"/>
                <w:szCs w:val="1"/>
                <w:color w:val="auto"/>
              </w:rPr>
            </w:pPr>
          </w:p>
        </w:tc>
      </w:tr>
      <w:tr>
        <w:trPr>
          <w:trHeight w:val="129"/>
        </w:trPr>
        <w:tc>
          <w:tcPr>
            <w:tcW w:w="786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payable under Tax Receivable Agreements</w:t>
            </w:r>
          </w:p>
        </w:tc>
        <w:tc>
          <w:tcPr>
            <w:tcW w:w="36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86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Settlement of non-controlling interests related to awards of carried interest allocations</w:t>
            </w:r>
          </w:p>
        </w:tc>
        <w:tc>
          <w:tcPr>
            <w:tcW w:w="36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issued for redemption of redeemable non-controlling interests</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97,383</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issued for purchase of non-controlling interests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191,469</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Funds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53,802</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244,655</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June 30, 2025, SSG held approximately 64.4%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2025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7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6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June 30, 2025, the Company used the March 31, 2025 unaudited financial statements of the StepStone Funds, which reflect the underlying private market funds as of March 31, 2025, to record its investments (including any carried interest allocated from those investments), as adjusted for capital contributions and distributions during the three-month lag period ended June 30, 2025.</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In 2025, financial markets have experienced significant volatility in response to the uncertainty of the economic impact from U.S. trade policy developments including the announcement and implementation of increases on tariffs charged by the U.S. on certain imports and the weakening of the U.S. dollar against several major foreign currencies. Although inflation has remained elevated, unemployment has remained low and the U.S. economy has experienced sustained expansion during calendar 2025 to date.</w:t>
      </w:r>
    </w:p>
    <w:p>
      <w:pPr>
        <w:spacing w:after="0" w:line="187"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9"/>
          <w:szCs w:val="19"/>
          <w:color w:val="auto"/>
        </w:rPr>
        <w:t>On July 4, 2025, the One Big Beautiful Bill Act (“OBBBA”) was enacted in the United States, introducing significant tax reform provisions applicable to businesses. The Company is currently assessing the potential impact of the legislation on its condensed consolidated financial statements, including any changes to current and deferred tax positions, valuation allowances and future cash tax obligations.</w:t>
      </w:r>
    </w:p>
    <w:p>
      <w:pPr>
        <w:spacing w:after="0" w:line="16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As the enactment date occurred after the end of the reporting period, the effects of the OBBBA are not reflected in the Company’s results of operations for the three months ended June 30, 2025. The Company will continue to monitor related regulatory developments and expects to incorporate the impact of the legislation in future reporting periods, as required.</w:t>
      </w:r>
    </w:p>
    <w:p>
      <w:pPr>
        <w:spacing w:after="0" w:line="1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9"/>
          <w:szCs w:val="19"/>
          <w:color w:val="auto"/>
        </w:rPr>
        <w:t>The Company is continuing to closely monitor developments related to inflation, decreasing but still elevated interest rates, trade, regulatory and other governmental policy, fluctuations in foreign currency exchange rates, banking system volatility, geopolitical tension, unrest or conflicts, including in or with China,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29" w:lineRule="exact"/>
        <w:rPr>
          <w:rFonts w:ascii="Times New Roman" w:cs="Times New Roman" w:eastAsia="Times New Roman" w:hAnsi="Times New Roman"/>
          <w:sz w:val="20"/>
          <w:szCs w:val="20"/>
          <w:color w:val="auto"/>
        </w:rPr>
      </w:pPr>
    </w:p>
    <w:p>
      <w:pPr>
        <w:ind w:left="660" w:right="120" w:hanging="328"/>
        <w:spacing w:after="0" w:line="254"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right="380" w:hanging="328"/>
        <w:spacing w:after="0" w:line="26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8 for additional details regarding the fair value of the Company’s notes payable and revolving credit facility balances.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20"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7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(loss).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(loss). Minimum lease payments for leases with an initial term of twelve months or less are not recorded in the condensed consolidated balance sheets. See note 14 for more information.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33"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is 10 years. The Company did not have any intangible assets that were deemed to have an indefinite life as of June 30, 2025.</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months ended June 30, 2025 and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reflect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19"/>
          <w:szCs w:val="19"/>
          <w:color w:val="000000"/>
        </w:rPr>
        <w:t>because it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is presumed to have significant influence as the general partner or managing member</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color w:val="000000"/>
        </w:rPr>
        <w:t xml:space="preserve"> Accordingly, legacy Greenspring carried interest allocations are not deemed to be within the scope of ASC 606. </w:t>
      </w:r>
      <w:r>
        <w:rPr>
          <w:rFonts w:ascii="Times New Roman" w:cs="Times New Roman" w:eastAsia="Times New Roman" w:hAnsi="Times New Roman"/>
          <w:sz w:val="19"/>
          <w:szCs w:val="19"/>
          <w:color w:val="231F20"/>
        </w:rPr>
        <w:t>The Company does not hold any direct economic interests in the legacy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(loss).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2025 and March 31, 2025,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2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expense primarily includes salaries, bonuses, employee benefits, cash-based incentive awards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employer-related payroll taxes. Bonuses are accrued over the service period in which they are earned. Expense for cash-based incentive awards granted to employees is recognized and adjusted to fair value over the vesting period to track the performance for one of the Company’s designated investment funds. During fiscal 2025, the Company adopted the StepStone Group LP Evergreen Fund Incentive Plan, under which grants of share unit (“Evergreen Fund Units”) awards entitle the holder to receive shares of one of the Company’s evergreen investment funds, or the cash value thereof, following vesting. The Evergreen Fund Units are accounted for as cash-based incentive awards. During the year ended March 31, 2025, the Company granted Evergreen Fund Unit awards valued at $2.0 million to certain employees of the Company which vest over four years in equal installments subject to continued service through the vesting date. The Company recognized $0.1 million of expense related to cash-based incentive awards for the three months ended June 30, 2025. There was no expense recognized related to cash-based incentive awards for the three months ended June 30, 2024.</w:t>
      </w:r>
    </w:p>
    <w:p>
      <w:pPr>
        <w:spacing w:after="0" w:line="18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equity-based awards or arrangements to certain employees and directors.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accounts for grants of equity-based 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condensed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(loss). As a result, the Partnership does not record U.S. federal and state income taxes on income in the Partnership or its subsidiaries, except for certain local and foreign income taxes discussed above.</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(loss). See note 10 for more information.</w:t>
      </w:r>
    </w:p>
    <w:p>
      <w:pPr>
        <w:spacing w:after="0" w:line="17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13 for more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300" w:type="dxa"/>
            <w:vAlign w:val="bottom"/>
            <w:tcBorders>
              <w:bottom w:val="single" w:sz="8" w:color="auto"/>
            </w:tcBorders>
          </w:tcPr>
          <w:p>
            <w:pPr>
              <w:spacing w:after="0"/>
              <w:rPr>
                <w:sz w:val="18"/>
                <w:szCs w:val="18"/>
                <w:color w:val="auto"/>
              </w:rPr>
            </w:pPr>
          </w:p>
        </w:tc>
      </w:tr>
      <w:tr>
        <w:trPr>
          <w:trHeight w:val="211"/>
        </w:trPr>
        <w:tc>
          <w:tcPr>
            <w:tcW w:w="8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8"/>
        </w:trPr>
        <w:tc>
          <w:tcPr>
            <w:tcW w:w="8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15 for more information.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0"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which amends current guidance to add requirements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condensed consolidated financial statements.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May 2025, the FASB issued ASU 2025-03, </w:t>
      </w:r>
      <w:r>
        <w:rPr>
          <w:rFonts w:ascii="Times New Roman" w:cs="Times New Roman" w:eastAsia="Times New Roman" w:hAnsi="Times New Roman"/>
          <w:sz w:val="20"/>
          <w:szCs w:val="20"/>
          <w:i w:val="1"/>
          <w:iCs w:val="1"/>
          <w:color w:val="auto"/>
        </w:rPr>
        <w:t>Business Combinations (Topic 805) and Consolidation (Topic 810): Determining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Acquirer in the Acquisition of a Variable Interest Entity</w:t>
      </w:r>
      <w:r>
        <w:rPr>
          <w:rFonts w:ascii="Times New Roman" w:cs="Times New Roman" w:eastAsia="Times New Roman" w:hAnsi="Times New Roman"/>
          <w:sz w:val="20"/>
          <w:szCs w:val="20"/>
          <w:color w:val="auto"/>
        </w:rPr>
        <w:t>, which amends current guidance to improve how entities determine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acquirer in business combinations involving a VIE, particularly when the transaction is primarily executed though the exchange of equity interests. It aligns the criteria for determining the acquirer for accounting purposes in transactions in which the acquiree is a VIE with those used in other acquisition transactions. The amendments are effective for annual periods beginning after December 15, 2026, with early adoption permitted. The Company does not expect the adoption of this guidance to have a material effect on the condensed consolidated financial statements.</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104,435</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of $4.4 million and $1.1 million for the three months ended June 30, 2025 and 2024,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2025 and 2024 reflect the net effect of gross realized carried interest allocations of $4.9 million and $6.6 million, respectively, and the reversal of such amounts in unrealized carried interest allocations for such periods.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 note 5 for a discussion of changes in carried interest allocations and legacy Greenspring carried interest allocations.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0" w:type="dxa"/>
            <w:vAlign w:val="bottom"/>
          </w:tcPr>
          <w:p>
            <w:pPr>
              <w:spacing w:after="0"/>
              <w:rPr>
                <w:sz w:val="1"/>
                <w:szCs w:val="1"/>
                <w:color w:val="auto"/>
              </w:rPr>
            </w:pPr>
          </w:p>
        </w:tc>
      </w:tr>
      <w:tr>
        <w:trPr>
          <w:trHeight w:val="234"/>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228,275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114,643</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1060" w:firstLine="648"/>
        <w:spacing w:after="0" w:line="283" w:lineRule="auto"/>
        <w:rPr>
          <w:sz w:val="20"/>
          <w:szCs w:val="20"/>
          <w:color w:val="auto"/>
        </w:rPr>
      </w:pPr>
      <w:r>
        <w:rPr>
          <w:rFonts w:ascii="Times New Roman" w:cs="Times New Roman" w:eastAsia="Times New Roman" w:hAnsi="Times New Roman"/>
          <w:sz w:val="20"/>
          <w:szCs w:val="20"/>
          <w:color w:val="auto"/>
        </w:rPr>
        <w:t>For the three months ended June 30, 2025 and 2024, no individual client represented 10% or more of the Company’s net management and advisory fees.</w:t>
      </w:r>
    </w:p>
    <w:p>
      <w:pPr>
        <w:spacing w:after="0" w:line="14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For the three months ended June 30, 2025, the Company had management and advisory fee revenues attributable to the United States, which represented 10% or more of the Company’s net management and advisory fees. For the three months ended June 30, 2024, the Company had management and advisory fee revenues attributable to the United States and Cayman Islands, each of which represented 10% or more of the Company’s net management and advisory fees.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As of June 30, 2025 and March 31, 2025, the Company had $25.9 million and $26.8 million, respectively, of deferred revenues, which is included in accounts payable, accrued expenses and other liabilities in the condensed consolidated balance sheets. During the three months ended June 30, 2025, the Company had recognized $4.5 million as revenue from amounts included in the deferred revenue balance as of March 31,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20"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$1,525.9 million and $1,376.0 million as of June 30, 2025 and March 31, 2025, respectively. The liabilities of the consolidated VIEs totaled $1,499.9 million and $1,278.7 million as of June 30, 2025 and March 31, 2025,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2025 and March 31, 2025,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460" w:type="dxa"/>
            <w:vAlign w:val="bottom"/>
            <w:tcBorders>
              <w:bottom w:val="single" w:sz="8" w:color="auto"/>
            </w:tcBorders>
          </w:tcPr>
          <w:p>
            <w:pPr>
              <w:spacing w:after="0"/>
              <w:rPr>
                <w:sz w:val="18"/>
                <w:szCs w:val="18"/>
                <w:color w:val="auto"/>
              </w:rPr>
            </w:pPr>
          </w:p>
        </w:tc>
      </w:tr>
      <w:tr>
        <w:trPr>
          <w:trHeight w:val="211"/>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176,339</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206,085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197,567</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744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1,585,209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1,495,664</w:t>
            </w:r>
          </w:p>
        </w:tc>
      </w:tr>
      <w:tr>
        <w:trPr>
          <w:trHeight w:val="229"/>
        </w:trPr>
        <w:tc>
          <w:tcPr>
            <w:tcW w:w="7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663,580</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2,451,468</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2,308,586</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760" w:hanging="652"/>
        <w:spacing w:after="0" w:line="25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$299.8 million and $275.7 million as of June 30, 2025 and March 31, 2025,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$134.3 million and $133.5 million and carried interest allocations of $529.2 million and $495.7 million as of June 30, 2025 and March 31, 2025, respectively.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increase in carried interest allocations for the three months ended June 30, 2025 as compared to the three months ended June 30, 2024 was primarily attributable to net unrealized appreciation in the fair value of certain underlying fund investments in the Company’s private equity funds. The increase in legacy Greenspring carried interest allocations for the three months ended June 30, 2025 as compared to the three months ended June 30, 2024 was primarily attributable to net unrealized appreciation in the fair value of certain underlying fund investments in the current year period as compared to net unrealized depreciation in the prior year period. See note 2 for a discussion of the Company’s accounting policy for investments on a three-month lag.</w:t>
      </w:r>
    </w:p>
    <w:p>
      <w:pPr>
        <w:spacing w:after="0" w:line="192" w:lineRule="exact"/>
        <w:rPr>
          <w:sz w:val="20"/>
          <w:szCs w:val="20"/>
          <w:color w:val="auto"/>
        </w:rPr>
      </w:pPr>
    </w:p>
    <w:p>
      <w:pPr>
        <w:ind w:right="420" w:firstLine="648"/>
        <w:spacing w:after="0" w:line="253" w:lineRule="auto"/>
        <w:rPr>
          <w:sz w:val="20"/>
          <w:szCs w:val="20"/>
          <w:color w:val="auto"/>
        </w:rPr>
      </w:pPr>
      <w:r>
        <w:rPr>
          <w:rFonts w:ascii="Times New Roman" w:cs="Times New Roman" w:eastAsia="Times New Roman" w:hAnsi="Times New Roman"/>
          <w:sz w:val="20"/>
          <w:szCs w:val="20"/>
          <w:color w:val="auto"/>
        </w:rPr>
        <w:t>As of June 30, 2025 and March 31, 2025, the Company’s investment in one SMA represented 10% or more of the total accrued carried interest allocations balance, and in the aggregate represented approximately 15% of the total accrued carried interest allocations balance as of those dates. As of June 30, 2025 and March 31, 2025, the Company’s investments in each of three commingled funds individually represented 10% or more of the total legacy Greenspring accrued carried interest allocations balance, and in the aggregate represented approximately 52% and 47%, respectively, of the total legacy Greenspring accrued carried interest allocations balances as of those dates.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June 30, 2025 and March 31, 2025, $802.3 million and $758.0 million, respectively, were payable to affiliates and are included in accrued carried interest-related compensation in the condensed consolidated balance sheets. Of the total legacy Greenspring investments in funds and accrued carried interest allocations balance as of June 30, 2025 and March 31, 2025, $529.2 million and $495.7 million, respectively, were payable to employees who are considered affiliates of the Company and are included in legacy Greenspring accrued carried interest-related compensation in the condensed consolidated balance sheets and $134.3 million and $133.5 million, respectively, are reflected as non-controlling interests in legacy Greenspring entities in the condensed consolidated balance sheets.</w:t>
      </w:r>
    </w:p>
    <w:p>
      <w:pPr>
        <w:spacing w:after="0" w:line="1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June 30, 2025 and March 31, 2025, no individual equity method investment held by the Company met the significance criteria. As a result, the Company is not required to provide separate financial statements for any of its equity method investments.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4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r>
      <w:tr>
        <w:trPr>
          <w:trHeight w:val="211"/>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184"/>
        </w:trPr>
        <w:tc>
          <w:tcPr>
            <w:tcW w:w="5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securities (cost of $1.9 million and $0 million as of June 30, 2025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March 31, 2025,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4"/>
        </w:trPr>
        <w:tc>
          <w:tcPr>
            <w:tcW w:w="53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$63.5 million and $60.0 million as of June 30,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March 31, 2025, respectively)</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184"/>
        </w:trPr>
        <w:tc>
          <w:tcPr>
            <w:tcW w:w="5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Partnership and LLC interests (cost of $305.9 million and $257.0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million as of June 30, 2025 and March 31, 2025, respectively)</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415,982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344,833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8"/>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493,506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June 30, 2025 and March 31, 2025, no individual investment had a fair value greater than 5% of the Company’s total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of Consolidated Funds: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r>
      <w:tr>
        <w:trPr>
          <w:trHeight w:val="223"/>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income of Consolidated Funds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33"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As of June 30, 2025 and March 31, 2025, respectively, the Company held no financial instruments within the fair value hierarchy measured at fair value on a recurring basis.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previously held a contingent consideration obligation liability that was measured at fair value on a recurring basis. The fair value of the contingent consideration obligation was based on a discounted cash flow analysis using a probability-weighted average estimate of certain performance targets, including revenue levels. The significant unobservable inputs required to value the contingent consideration obligation primarily related to the future expected revenues and the discount rate applied to the expected future revenues and payments of obligations. The management fee revenue target for calendar year 2024 was achieved resulting in the full earn-out amount of $75.0 million, which was fully paid during the three months ended March 31, 2025. In accordance with the contingent consideration arrangement, a portion of the contingent earn-out liability otherwise payable to the sellers included amounts paid to certain of the Company’s employees and former employees during the year ended March 31, 2025. As a result, the contingent consideration liability was settled net of $5.8 million paid. Changes in the fair value of the liabilities are included in general, administrative and other expenses in the condensed consolidated statements of income (loss).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months ended June 30, 2025 and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June 30, 2025 and March 31, 2025, investments with a combined fair value of $422.0 million and $350.5 million, respectively, are excluded from presentation in the fair value hierarchy as the fair value of these investments were measured at net asset value. As of June 30, 2025 and March 31, 2025, investments with a combined fair value of $71.5 million and $64.5 million, respectively, were classified as Level III investments. Depending on the valuation methodology applied, the significant unobservable input used to value these investments classified as Level III investments may include the enterprise value to revenue multiple, discounts to recent transaction prices or recent round of financing, or the yield method.</w:t>
      </w:r>
    </w:p>
    <w:p>
      <w:pPr>
        <w:spacing w:after="0" w:line="176"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 of Consolidated Funds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30"/>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9"/>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unrealized gains included in earnings related to financial assets still held at the reporting date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33" w:lineRule="exact"/>
        <w:rPr>
          <w:sz w:val="20"/>
          <w:szCs w:val="20"/>
          <w:color w:val="auto"/>
        </w:rPr>
      </w:pPr>
    </w:p>
    <w:p>
      <w:pPr>
        <w:ind w:right="980" w:firstLine="648"/>
        <w:spacing w:after="0" w:line="269"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(194,987)</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(184,780)</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253,665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263,872</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$10.2 million and $10.3 million for the three months ended June 30, 2025 and 2024, respectively. These amounts are included in general, administrative and other expenses in the condensed consolidated statements of income (loss).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9800" w:type="dxa"/>
            <w:vAlign w:val="bottom"/>
          </w:tcPr>
          <w:p>
            <w:pPr>
              <w:jc w:val="center"/>
              <w:ind w:left="1348"/>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8"/>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73"/>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June 30, 2025,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FY2026</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June 30, 2025 and March 31, 2025. The Company determined there was no indication of goodwill impairment as of June 30, 2025 and March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senior notes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principal</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fair value of the Notes, which are recorded at amortized cost, is classified as a Level III valuation within the fair value hierarchy.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June 30, 2025 and March 31, 2025, respectively, the carrying value of the Notes, net of debt issuance costs, approximated fair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spacing w:after="0" w:line="19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2025 was 6.43%.</w:t>
      </w:r>
    </w:p>
    <w:p>
      <w:pPr>
        <w:spacing w:after="0" w:line="20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68"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68" w:lineRule="exact"/>
        <w:rPr>
          <w:sz w:val="20"/>
          <w:szCs w:val="20"/>
          <w:color w:val="auto"/>
        </w:rPr>
      </w:pPr>
    </w:p>
    <w:p>
      <w:pPr>
        <w:ind w:right="500" w:firstLine="648"/>
        <w:spacing w:after="0" w:line="268"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June 30, 2025, the Company had outstanding letters of credit totaling $10.0 million.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Consolidated Funds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the Company’s consolidated investment funds entered into a credit agreement with Northern Trust Global Service SE (the “Fund Credit Facility”). The Fund Credit Facility provides for a multi-currency revolving credit facility of up to</w:t>
      </w:r>
    </w:p>
    <w:p>
      <w:pPr>
        <w:ind w:right="880"/>
        <w:spacing w:after="0" w:line="260" w:lineRule="auto"/>
        <w:rPr>
          <w:sz w:val="20"/>
          <w:szCs w:val="20"/>
          <w:color w:val="auto"/>
        </w:rPr>
      </w:pPr>
      <w:r>
        <w:rPr>
          <w:rFonts w:ascii="Times New Roman" w:cs="Times New Roman" w:eastAsia="Times New Roman" w:hAnsi="Times New Roman"/>
          <w:sz w:val="20"/>
          <w:szCs w:val="20"/>
          <w:color w:val="auto"/>
        </w:rPr>
        <w:t>$125.0 million. Amounts drawn under the facility must be repaid within 180 days. As of June 30, 2025, there were no outstanding borrowings under the Fund Credit Facility.</w:t>
      </w:r>
    </w:p>
    <w:p>
      <w:pPr>
        <w:spacing w:after="0" w:line="16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Fund Credit Facility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33"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Fund Credit Facility</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June 30, 2025, the Company was in compliance with the covenants under its various debt agreements.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PRSUs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 of PRSUs</w:t>
            </w:r>
          </w:p>
        </w:tc>
        <w:tc>
          <w:tcPr>
            <w:tcW w:w="120" w:type="dxa"/>
            <w:vAlign w:val="bottom"/>
          </w:tcPr>
          <w:p>
            <w:pPr>
              <w:spacing w:after="0"/>
              <w:rPr>
                <w:sz w:val="16"/>
                <w:szCs w:val="16"/>
                <w:color w:val="auto"/>
              </w:rPr>
            </w:pPr>
          </w:p>
        </w:tc>
        <w:tc>
          <w:tcPr>
            <w:tcW w:w="19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Date Fair Value Per PRSU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As of June 30, 2025, $50.2 million of unrecognized non-cash compensation expense in respect of equity-based awards remained to be recognized over a weighted-average period of approximately 3.4 years.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Awards of Partnership Units</w:t>
      </w:r>
    </w:p>
    <w:p>
      <w:pPr>
        <w:spacing w:after="0" w:line="233" w:lineRule="exact"/>
        <w:rPr>
          <w:sz w:val="20"/>
          <w:szCs w:val="20"/>
          <w:color w:val="auto"/>
        </w:rPr>
      </w:pPr>
    </w:p>
    <w:p>
      <w:pPr>
        <w:ind w:right="760" w:firstLine="648"/>
        <w:spacing w:after="0" w:line="283" w:lineRule="auto"/>
        <w:rPr>
          <w:sz w:val="20"/>
          <w:szCs w:val="20"/>
          <w:color w:val="auto"/>
        </w:rPr>
      </w:pPr>
      <w:r>
        <w:rPr>
          <w:rFonts w:ascii="Times New Roman" w:cs="Times New Roman" w:eastAsia="Times New Roman" w:hAnsi="Times New Roman"/>
          <w:sz w:val="20"/>
          <w:szCs w:val="20"/>
          <w:color w:val="auto"/>
        </w:rPr>
        <w:t>In June 2024, 2,566,566 outstanding Class B2 units fully vested and were automatically converted into Class B units and all unitholders purchased from the Company one share of Class B common stock for each Class B unit at its par value.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The Company accounted for the profits interest and option agreement as a single unit of account as a liability classified equity-based award. There are no vesting provisions or service requirements related to the award. In determining the fair value of the liability classified awards, the Company considers an income approach using a discounted cash flow analysis, a market approach using observable inputs from comparable public companies and the contractual redemption price. The assumptions used in the analysis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and the contractual transaction price, which includes assumptions for a discount rate and a trading multiple. The contractual transaction price is calculated based on the adjusted net income of SPW multiplied by an adjusted trading multiple for the Company’s Class A common stock, and then increased or reduced for certain other specified items. The Company applied a discount rate of 30% and 34% as of June 30, 2025 and March 31, 2025, respectively, and an adjusted trading multiple of 18.6x and 20.0x as of June 30, 2025 and March 31, 2025, respectively.</w:t>
      </w:r>
    </w:p>
    <w:p>
      <w:pPr>
        <w:spacing w:after="0" w:line="180"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recognized $184.0 million and $13.5 million during the three months ended June 30, 2025 and 2024, respectively, of expense related to liability classified awards within equity-based compensation expense in the condensed consolidated statements of income (loss). For the three months ended June 30, 2025, the Company paid $6.6 million related to the settlement of liability classified awards. For the three months ended June 30, 2024, no amounts were paid related to the settlement of liability classified awards. As of June 30, 2025 and March 31, 2025, the Company had recognized $841.7 million and $663.9 million, respectively, for liability classified awards within accrued compensation and benefits in the condensed consolidated balance sheets.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The offering periods run from April 1 to September 30, and October 1 to March 31 each year. Each eligible employee may purchase up to five thousand dollars worth of shares each six-month offering period, limited to a maximum of 1,000 shares. During the three months ended June 30, 2025 and 2024, no shares were purchased under the ESPP as purchases typically occur in September and March. As of June 30, 2025, the Company has 2,130,193 shares of Class A common stock reserved for future issuances under the ESPP.</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In connection with the Transaction Agreements (as defined and described in note 13), the Company recorded a $10.6 million decrease to deferred tax assets and an increase in the valuation allowance of $2.4 million during the three months ended June 30, 2025 as a result of the 2025 Exchange (as defined below). In addition, there were exchanges of Class B, Class C and Class D units of the Partnership for Class A common stock by certain limited partners of the Partnership during the three months ended June 30, 2025, resulting in an increase to the deferred tax asset of $20.3 million and an increase in the valuation allowance of $1.1 million. Additionally, a corresponding Tax Receivable Agreements liability of $13.7 million was recorded, representing 85% of the incremental net cash tax savings for the Company as a result of these exchanges. The Company made payments of $11.5 million and $9.8 million during the three months ended June 30, 2025 and 2024, respectively, under the Tax Receivable Agreements. As of June 30, 2025, the Company’s total Tax Receivable Agreements liability was $315.9 million. See note 12 for more information on the Tax Receivable Agreements.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During the three months ended June 30, 2025, the Company recognized an expense within equity-based compensation expense in the condensed consolidated statements of income (loss) to remeasure the profits interests issued in SPW which are accounted for as liability classified awards. This expense is not currently deductible for tax purposes, resulting in a temporary difference that increased the Company’s deferred tax asset by $25.2 million as of June 30, 2025. See note 9 for more information.</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The Company’s effective tax rate was 41.0% and 12.4% for the three months ended June 30, 2025 and 2024, respectively. The increase in the effective tax rate for the three months ended June 30, 2025 as compared to the prior year period was driven, in part, by the additional tax benefit associated with losses that were not allocated to non-controlling interests. For the three months ended June 30, 2024, the lower effective tax rate relative to the statutory rate was primarily due to the allocation of income to non-controlling interests in a period of pre-tax net income, for which the related tax liability on such income is borne by the holders of those non-controlling interests.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in the United States, introducing tax reform provisions affecting businesses. The Company is currently evaluating the impact of this legislation on its condensed consolidated financial statements. As the legislation was enacted after the end of the reporting period, its effects are not reflected in the Company’s operating results for the three months ended June 30, 2025.</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spacing w:after="0" w:line="186"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3"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As of June 30, 2025,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months ended June 30, 2025 and 2024.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 – 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and exchange of Class B2 units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 – Diluted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w:t>
            </w: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77,846,710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66,187,754</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673,854</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1,732,153</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Diluted</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77,846,710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68,593,761</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calculation of diluted earnings per share excludes 39,504,186 Class B units, 947,761 Class C units and 2,945,736 Class D units of the Partnership outstanding as of June 30, 2025, and 45,889,135 Class B units, 1,780,446 Class C units and 2,239,185 Class D units of the Partnership outstanding as of June 30, 2024, which are exchangeable into Class A common stock under the if-converted method, as the inclusion of such shares would be anti-dilutive. The calculation of diluted earnings per share excludes 80,674 PRSUs outstanding as of June 30, 2025 as the related performance target has not been met as of June 30, 2025.</w:t>
      </w:r>
    </w:p>
    <w:p>
      <w:pPr>
        <w:spacing w:after="0" w:line="192" w:lineRule="exact"/>
        <w:rPr>
          <w:sz w:val="20"/>
          <w:szCs w:val="20"/>
          <w:color w:val="auto"/>
        </w:rPr>
      </w:pPr>
    </w:p>
    <w:p>
      <w:pPr>
        <w:ind w:right="200" w:firstLine="648"/>
        <w:spacing w:after="0" w:line="295" w:lineRule="auto"/>
        <w:rPr>
          <w:sz w:val="20"/>
          <w:szCs w:val="20"/>
          <w:color w:val="auto"/>
        </w:rPr>
      </w:pPr>
      <w:r>
        <w:rPr>
          <w:rFonts w:ascii="Times New Roman" w:cs="Times New Roman" w:eastAsia="Times New Roman" w:hAnsi="Times New Roman"/>
          <w:sz w:val="19"/>
          <w:szCs w:val="19"/>
          <w:color w:val="auto"/>
        </w:rPr>
        <w:t>As the Company was in a net loss position for the three months ended June 30, 2025, the calculation of diluted earnings per share excludes potential shares of Class A common stock for 1,054,894 outstanding RSUs, as the inclusion of such shares would be anti-dilutive.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The Company earned net management and advisory fees from the StepStone Funds of $151.6 million and $123.7 million for the three months ended June 30, 2025 and 2024, respectively. The Company earned no incentive fees from the StepStone Funds for the three months ended June 30, 2025 and earned incentive fees of $33 thousand from the StepStone Funds for the three months ended June 30, 2024. Carried interest allocation revenues earned from the StepStone Funds totaled $113.3 million and $16.6 million for the three months ended June 30, 2025 and 2024, respectively. Legacy Greenspring carried interest allocation revenues earned from certain legacy Greenspring funds for which the Company has no direct economic interests totaled $39.6 million and $(9.1) million for the three months ended June 30, 2025 and 2024, respectively.</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Due from affiliates in the condensed consolidated balance sheets consists primarily of fees and accounts receivable from the</w:t>
      </w:r>
    </w:p>
    <w:p>
      <w:pPr>
        <w:spacing w:after="0" w:line="2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105,217</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92,723</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560" w:firstLine="648"/>
        <w:spacing w:after="0" w:line="310" w:lineRule="auto"/>
        <w:rPr>
          <w:sz w:val="20"/>
          <w:szCs w:val="20"/>
          <w:color w:val="auto"/>
        </w:rPr>
      </w:pPr>
      <w:r>
        <w:rPr>
          <w:rFonts w:ascii="Times New Roman" w:cs="Times New Roman" w:eastAsia="Times New Roman" w:hAnsi="Times New Roman"/>
          <w:sz w:val="19"/>
          <w:szCs w:val="19"/>
          <w:color w:val="auto"/>
        </w:rPr>
        <w:t>Due to affiliates in the condensed consolidated balance sheets consists primarily of amounts payable to certain non-controlling interest holders in connection with the Tax Receivable Agreements and amounts payable to the StepStone Funds, as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315,906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313,749</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341,813</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made payments of $11.5 million and $9.8 million during the three months ended June 30, 2025 and 2024, respectively, under the Tax Receivable Agreements.</w:t>
      </w:r>
    </w:p>
    <w:p>
      <w:pPr>
        <w:spacing w:after="0" w:line="142" w:lineRule="exact"/>
        <w:rPr>
          <w:sz w:val="20"/>
          <w:szCs w:val="20"/>
          <w:color w:val="auto"/>
        </w:rPr>
      </w:pPr>
    </w:p>
    <w:p>
      <w:pPr>
        <w:ind w:left="660" w:right="5320" w:hanging="652"/>
        <w:spacing w:after="0" w:line="481" w:lineRule="auto"/>
        <w:tabs>
          <w:tab w:leader="none" w:pos="457"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76,761,399</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39,656,954</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(152,768)</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D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864,640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756,105</w:t>
            </w:r>
          </w:p>
        </w:tc>
        <w:tc>
          <w:tcPr>
            <w:tcW w:w="14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78,552,912</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39,504,186</w:t>
            </w:r>
          </w:p>
        </w:tc>
      </w:tr>
      <w:tr>
        <w:trPr>
          <w:trHeight w:val="21"/>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June 30, 2025, no shares of preferred stock were issued or outstanding.</w:t>
      </w:r>
    </w:p>
    <w:p>
      <w:pPr>
        <w:spacing w:after="0" w:line="173"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9"/>
          <w:szCs w:val="19"/>
          <w:color w:val="auto"/>
        </w:rPr>
        <w:t>In June 2025, the Company issued 152,768 shares of Class A common stock to certain limited partners of the Partnership in exchange for 152,768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the Company. The Company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determined annually derived from a formula that establishes an assumed value of each Asset Class Entity based on its estimated adjusted net income, relative to an adjusted trading multiple for the Company’s Class A common stock with respect to the Company’s estimated adjusted net income. The Transaction Agreement specifies a minimum adjusted trading multiple required for the exchange to take place. If this threshold is not met for a particular year, the exchange for that year will be skipped and combined with a future exchange in a subsequent year, provided the minimum adjusted trading multiple is met at that time.</w:t>
      </w:r>
    </w:p>
    <w:p>
      <w:pPr>
        <w:spacing w:after="0" w:line="16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1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spacing w:after="0" w:line="181" w:lineRule="exact"/>
        <w:rPr>
          <w:sz w:val="20"/>
          <w:szCs w:val="20"/>
          <w:color w:val="auto"/>
        </w:rPr>
      </w:pPr>
    </w:p>
    <w:p>
      <w:pPr>
        <w:ind w:right="300" w:firstLine="648"/>
        <w:spacing w:after="0" w:line="270"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owned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19"/>
          <w:szCs w:val="19"/>
          <w:color w:val="auto"/>
        </w:rPr>
        <w:t>On May 30, 2025, the Company completed the second annual exchange (the “2025 Exchange”) to acquire approximately 5% of the equity interests of each of SRA, SRE and SPD pursuant to the Transaction Agreements. As a result of the 2025 Exchange, the Partnership now owns approximately 60% of the outstanding equity interests of SRA, 60% of the outstanding equity interests of SRE and 59% of the outstanding equity interests of SPD. The aggregate consideration paid by the Company in the 2025 Exchange was approximately (i)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million in cash, (ii) 756,105 shares of the Company’s Class A common stock and (iii) 2,438,403 Class D units of the Partnership.</w:t>
      </w:r>
    </w:p>
    <w:p>
      <w:pPr>
        <w:spacing w:after="0" w:line="207"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9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As of June 30, 2025, the Company determined that redemption of the redeemable non-controlling interests in subsidiaries was probable and presented the carrying value at the redemption amount based on the conditions that existed as of that date of $6.9 million in the condensed consolidated balance sheets within redeemable non-controlling interests in subsidiaries.</w:t>
      </w:r>
    </w:p>
    <w:p>
      <w:pPr>
        <w:spacing w:after="0" w:line="181"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 and Distributions</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On May 22, 2025, the Company announced a quarterly cash dividend of $0.24 per share of Class A common stock and a supplemental cash dividend of $0.40 per share of Class A common stock, both of which were paid on June 30, 2025 to holders of record as of the close of business on June 13, 2025.</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377,897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1"/>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33"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29 cities in North America, South America, Europe, Asia and Australia, and certain equipment subject to operating lease agreements expiring through 2039, some of which may include options to extend or terminate the lease. As of June 30, 2025, there were no finance leases outstanding.</w:t>
      </w:r>
    </w:p>
    <w:p>
      <w:pPr>
        <w:spacing w:after="0" w:line="168"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(loss)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762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(1)</w:t>
            </w: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cost includes an immaterial amount of short-term leases.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20" w:type="dxa"/>
            <w:vAlign w:val="bottom"/>
          </w:tcPr>
          <w:p>
            <w:pPr>
              <w:spacing w:after="0"/>
              <w:rPr>
                <w:sz w:val="24"/>
                <w:szCs w:val="2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4,325</w:t>
            </w:r>
          </w:p>
        </w:tc>
        <w:tc>
          <w:tcPr>
            <w:tcW w:w="1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892"/>
        </w:trPr>
        <w:tc>
          <w:tcPr>
            <w:tcW w:w="220" w:type="dxa"/>
            <w:vAlign w:val="bottom"/>
          </w:tcPr>
          <w:p>
            <w:pPr>
              <w:spacing w:after="0"/>
              <w:rPr>
                <w:sz w:val="24"/>
                <w:szCs w:val="24"/>
                <w:color w:val="auto"/>
              </w:rPr>
            </w:pPr>
          </w:p>
        </w:tc>
        <w:tc>
          <w:tcPr>
            <w:tcW w:w="7400" w:type="dxa"/>
            <w:vAlign w:val="bottom"/>
          </w:tcPr>
          <w:p>
            <w:pPr>
              <w:ind w:left="5300"/>
              <w:spacing w:after="0"/>
              <w:rPr>
                <w:sz w:val="20"/>
                <w:szCs w:val="20"/>
                <w:color w:val="auto"/>
              </w:rPr>
            </w:pPr>
            <w:r>
              <w:rPr>
                <w:rFonts w:ascii="Times New Roman" w:cs="Times New Roman" w:eastAsia="Times New Roman" w:hAnsi="Times New Roman"/>
                <w:sz w:val="20"/>
                <w:szCs w:val="20"/>
                <w:color w:val="auto"/>
              </w:rPr>
              <w:t>44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2"/>
        </w:trPr>
        <w:tc>
          <w:tcPr>
            <w:tcW w:w="9840" w:type="dxa"/>
            <w:vAlign w:val="bottom"/>
          </w:tcPr>
          <w:p>
            <w:pPr>
              <w:jc w:val="center"/>
              <w:ind w:left="1309"/>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8"/>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673"/>
        </w:trPr>
        <w:tc>
          <w:tcPr>
            <w:tcW w:w="9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As of June 30, 2025, maturities of operating lease liabilities were as follows: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9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73,043</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148,160</w:t>
            </w:r>
          </w:p>
        </w:tc>
      </w:tr>
      <w:tr>
        <w:trPr>
          <w:trHeight w:val="229"/>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520" w:firstLine="648"/>
        <w:spacing w:after="0" w:line="253" w:lineRule="auto"/>
        <w:rPr>
          <w:sz w:val="20"/>
          <w:szCs w:val="20"/>
          <w:color w:val="auto"/>
        </w:rPr>
      </w:pPr>
      <w:r>
        <w:rPr>
          <w:rFonts w:ascii="Times New Roman" w:cs="Times New Roman" w:eastAsia="Times New Roman" w:hAnsi="Times New Roman"/>
          <w:sz w:val="20"/>
          <w:szCs w:val="20"/>
          <w:color w:val="auto"/>
        </w:rPr>
        <w:t>As of June 30, 2025 and March 31, 2025, the Company, generally in its capacity as general partner or managing member of the StepStone Funds, had unfunded commitments totaling $121.7 million and $125.0 million, respectively. The $121.7 million and $125.0 million of unfunded commitments as of June 30, 2025 and March 31, 2025, respectively, exclude $39.8 million and $47.8 million, respectively, related to commitments held by general partner entities for certain funds in which the Company does not hold any direct economic interests, including the legacy Greenspring funds.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20"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2025 and March 31, 2025, no material amounts for potential clawback obligations had been accrued. This contingent obligation is normally reduced by income taxes that the Company has paid related to the carried interest allocations. As of</w:t>
      </w:r>
    </w:p>
    <w:p>
      <w:pPr>
        <w:spacing w:after="0" w:line="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June 30, 2025, the maximum amount of carried interest allocations (excluding legacy Greenspring carried interest allocations) attributable to the Company subject to contingent repayment was an estimated $367.1 million, net of tax, assuming the fair value of all investments was zero, a possibility that the Company views as remote.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2025 and March 31, 2025. Based on past experience, management believes that the risk of loss related to these indemnities is remote.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single reportable segment earns substantially all its revenue from management, advisory, and performance fees. The CODM manages the Company on a consolidated basis and utilizes GAAP net income (loss) as presented in the condensed consolidated statements of income (loss) as the primary financial measure used to assess the performance of and allocate resources to the business. The CODM regularly reviews the GAAP condensed consolidated statements of income (loss) including the revenue, expense and other captions as presented in the Company’s periodic filings. There are no other significant expenses or specified revenue and expense categories reviewed by the CODM other than as reflected in the condensed consolidated statements of income (loss). The CODM reviews segment assets at the consolidated level within the condensed consolidated balance sheets, as there is no difference between segment assets and total consolidated assets. As the Company operates as a single segment, the accounting policies utilized by the segment are consistent with those included in the condensed consolidated financial statements here within.</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On August 7, 2025, the Company announced a quarterly cash dividend of $0.28 per share of Class A common stock, payable on September 15, 2025 to holders of record as of the close of business on August 29,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6" w:name="page47"/>
    <w:bookmarkEnd w:id="46"/>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2025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2025, we were responsible for approximately $723 billion of total capital, including $199 billion of AUM and $524 billion of AUA.</w:t>
      </w:r>
    </w:p>
    <w:p>
      <w:pPr>
        <w:spacing w:after="0" w:line="18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29 cities across 17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June 30, 2025, we had 1,160 total employees, including over 385 investment professionals and over 770 employees across our operating team and implementation teams dedicated to sourcing, executing, analyzing and monitoring private markets opportunities.</w:t>
      </w:r>
    </w:p>
    <w:p>
      <w:pPr>
        <w:spacing w:after="0" w:line="19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$121 billion of our AUM as of June 30, 2025</w:t>
      </w:r>
      <w:r>
        <w:rPr>
          <w:rFonts w:ascii="Times New Roman" w:cs="Times New Roman" w:eastAsia="Times New Roman" w:hAnsi="Times New Roman"/>
          <w:sz w:val="20"/>
          <w:szCs w:val="20"/>
          <w:color w:val="231F20"/>
        </w:rPr>
        <w:t>.</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$63 billion of our AUM as of </w:t>
      </w:r>
      <w:r>
        <w:rPr>
          <w:rFonts w:ascii="Times New Roman" w:cs="Times New Roman" w:eastAsia="Times New Roman" w:hAnsi="Times New Roman"/>
          <w:sz w:val="20"/>
          <w:szCs w:val="20"/>
          <w:color w:val="000000"/>
        </w:rPr>
        <w:t>June 30, 2025</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347" w:lineRule="exact"/>
        <w:rPr>
          <w:sz w:val="20"/>
          <w:szCs w:val="20"/>
          <w:color w:val="auto"/>
        </w:rPr>
      </w:pPr>
    </w:p>
    <w:p>
      <w:pPr>
        <w:ind w:left="660" w:right="40" w:hanging="328"/>
        <w:spacing w:after="0" w:line="270" w:lineRule="auto"/>
        <w:tabs>
          <w:tab w:leader="none" w:pos="64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231F20"/>
        </w:rPr>
        <w:t xml:space="preserve">Advisory and data services. </w:t>
      </w:r>
      <w:r>
        <w:rPr>
          <w:rFonts w:ascii="Times New Roman" w:cs="Times New Roman" w:eastAsia="Times New Roman" w:hAnsi="Times New Roman"/>
          <w:sz w:val="19"/>
          <w:szCs w:val="19"/>
          <w:color w:val="231F20"/>
        </w:rPr>
        <w:t>These services include one or more of the following for our clients: (i) recurring support of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9"/>
          <w:szCs w:val="19"/>
          <w:color w:val="000000"/>
        </w:rPr>
        <w:t>$524 billion</w:t>
      </w:r>
      <w:r>
        <w:rPr>
          <w:rFonts w:ascii="Times New Roman" w:cs="Times New Roman" w:eastAsia="Times New Roman" w:hAnsi="Times New Roman"/>
          <w:sz w:val="19"/>
          <w:szCs w:val="19"/>
          <w:color w:val="231F20"/>
        </w:rPr>
        <w:t xml:space="preserve"> of our AUA and $16 billion of our AUM as of </w:t>
      </w:r>
      <w:r>
        <w:rPr>
          <w:rFonts w:ascii="Times New Roman" w:cs="Times New Roman" w:eastAsia="Times New Roman" w:hAnsi="Times New Roman"/>
          <w:sz w:val="19"/>
          <w:szCs w:val="19"/>
          <w:color w:val="000000"/>
        </w:rPr>
        <w:t>June 30, 2025</w:t>
      </w:r>
      <w:r>
        <w:rPr>
          <w:rFonts w:ascii="Times New Roman" w:cs="Times New Roman" w:eastAsia="Times New Roman" w:hAnsi="Times New Roman"/>
          <w:sz w:val="19"/>
          <w:szCs w:val="19"/>
          <w:color w:val="231F20"/>
        </w:rPr>
        <w:t>.</w:t>
      </w:r>
    </w:p>
    <w:p>
      <w:pPr>
        <w:spacing w:after="0" w:line="172" w:lineRule="exact"/>
        <w:rPr>
          <w:rFonts w:ascii="Times New Roman" w:cs="Times New Roman" w:eastAsia="Times New Roman" w:hAnsi="Times New Roman"/>
          <w:sz w:val="19"/>
          <w:szCs w:val="19"/>
          <w:color w:val="auto"/>
        </w:rPr>
      </w:pPr>
    </w:p>
    <w:p>
      <w:pPr>
        <w:ind w:left="660" w:right="60" w:hanging="328"/>
        <w:spacing w:after="0" w:line="255"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over $789 billion of client commitments through SPI Reporting as of </w:t>
      </w:r>
      <w:r>
        <w:rPr>
          <w:rFonts w:ascii="Times New Roman" w:cs="Times New Roman" w:eastAsia="Times New Roman" w:hAnsi="Times New Roman"/>
          <w:sz w:val="20"/>
          <w:szCs w:val="20"/>
          <w:color w:val="000000"/>
        </w:rPr>
        <w:t>June 30, 2025</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196" w:lineRule="exact"/>
        <w:rPr>
          <w:sz w:val="20"/>
          <w:szCs w:val="20"/>
          <w:color w:val="auto"/>
        </w:rPr>
      </w:pPr>
    </w:p>
    <w:p>
      <w:pPr>
        <w:ind w:left="660" w:hanging="328"/>
        <w:spacing w:after="0" w:line="254"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86"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347" w:lineRule="exact"/>
        <w:rPr>
          <w:sz w:val="20"/>
          <w:szCs w:val="20"/>
          <w:color w:val="auto"/>
        </w:rPr>
      </w:pPr>
    </w:p>
    <w:p>
      <w:pPr>
        <w:ind w:left="660" w:right="60" w:hanging="328"/>
        <w:spacing w:after="0" w:line="254"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In 2025, </w:t>
      </w:r>
      <w:r>
        <w:rPr>
          <w:rFonts w:ascii="Times New Roman" w:cs="Times New Roman" w:eastAsia="Times New Roman" w:hAnsi="Times New Roman"/>
          <w:sz w:val="20"/>
          <w:szCs w:val="20"/>
          <w:color w:val="000000"/>
        </w:rPr>
        <w:t>financial markets have experienced significant volatility in response to the uncertainty of the economic impact from U.S.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trade policy developments including the announcement and implementation of increases on tariffs charged by the U.S. on certain imports and the weakening of the U.S. dollar against several major foreign currencies. Although inflation has remained elevated, unemployment has remained low and the U.S. economy has experienced sustained expansion during calendar 2025 to date.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United States, introducing significant tax reform provisions applicable to businesses. We are currently assessing the potential impact of the legislation on our condensed consolidated financial statements, including any changes to current and deferred tax positions, valuation allowances and future cash tax obligations.</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As the enactment date occurred after the end of the reporting period, the effects of the OBBBA are not reflected in our results of operations for the three months ended June 30, 2025. We will continue to monitor related regulatory developments and expect to incorporate the impact of the legislation in future reporting periods, as required.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3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231F20"/>
        </w:rPr>
        <w:t xml:space="preserve">We are continuing to closely monitor developments related to inflation, decreasing but still elevated interest rates, </w:t>
      </w:r>
      <w:r>
        <w:rPr>
          <w:rFonts w:ascii="Times New Roman" w:cs="Times New Roman" w:eastAsia="Times New Roman" w:hAnsi="Times New Roman"/>
          <w:sz w:val="20"/>
          <w:szCs w:val="20"/>
          <w:color w:val="000000"/>
        </w:rPr>
        <w:t>trade, regulatory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and other governmental policy</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fluctuations in foreign currency exchange rates, </w:t>
      </w:r>
      <w:r>
        <w:rPr>
          <w:rFonts w:ascii="Times New Roman" w:cs="Times New Roman" w:eastAsia="Times New Roman" w:hAnsi="Times New Roman"/>
          <w:sz w:val="20"/>
          <w:szCs w:val="20"/>
          <w:color w:val="231F20"/>
        </w:rPr>
        <w:t>banking system volatility,</w:t>
      </w:r>
      <w:r>
        <w:rPr>
          <w:rFonts w:ascii="Times New Roman" w:cs="Times New Roman" w:eastAsia="Times New Roman" w:hAnsi="Times New Roman"/>
          <w:sz w:val="20"/>
          <w:szCs w:val="20"/>
          <w:color w:val="000000"/>
        </w:rPr>
        <w:t xml:space="preserve"> geopolitical tension, unrest or conflicts, including in or with China, Russia, Ukraine, and the Middle East</w:t>
      </w:r>
      <w:r>
        <w:rPr>
          <w:rFonts w:ascii="Times New Roman" w:cs="Times New Roman" w:eastAsia="Times New Roman" w:hAnsi="Times New Roman"/>
          <w:sz w:val="20"/>
          <w:szCs w:val="20"/>
          <w:color w:val="231F20"/>
        </w:rPr>
        <w:t>, and assess the impact on financial markets and on our business.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20"/>
          <w:szCs w:val="20"/>
          <w:color w:val="000000"/>
        </w:rPr>
        <w:t>t is currently not possible to predict the ultimate effects of these events on the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3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7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determined annually derived from a formula that establishes an assumed value of each Asset Class Entity based on its estimated adjusted net income, relative to an adjusted trading multiple for our Class A common stock with respect to our estimated adjusted net income. The Transaction Agreement specifies a minimum adjusted trading multiple required for the exchange to take place. If this threshold is not met for a particular year, the exchange for that year will be skipped and combined with a future exchange in a subsequent year, provided the minimum adjusted trading multiple is met at that time.</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owned approximately 54% of the outstanding equity interests of SRA, 56% of the outstanding equity interests of SRE and 54% of the outstanding equity interests of SPD. The aggregate consideration paid by us in the 2024 Exchange was approximately (i) $13 million in cash, (ii) 513,394 shares of Class A common stock and (iii) 2,239,185 Class D units of the Partnership.</w:t>
      </w:r>
    </w:p>
    <w:p>
      <w:pPr>
        <w:spacing w:after="0" w:line="17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82"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On May 30, 2025, we completed the second annual exchange (the “2025 Exchange”) to acquire approximately 5% of the equity interests of each of SRA, SRE and SPD pursuant to the Transaction Agreements dated as of February 7, 2024. As a result of the 2025 Exchange, the Partnership now owns approximately 60% of the outstanding equity interests of SRA, 60% of the outstanding equity interests of SRE and 59% of the outstanding equity interests of SPD. The aggregate consideration paid by us in the 2025 Exchange was approximately</w:t>
      </w:r>
    </w:p>
    <w:p>
      <w:pPr>
        <w:spacing w:after="0" w:line="2" w:lineRule="exact"/>
        <w:rPr>
          <w:sz w:val="20"/>
          <w:szCs w:val="20"/>
          <w:color w:val="auto"/>
        </w:rPr>
      </w:pPr>
    </w:p>
    <w:p>
      <w:pPr>
        <w:ind w:left="5520" w:right="1660" w:hanging="5512"/>
        <w:spacing w:after="0" w:line="851" w:lineRule="auto"/>
        <w:tabs>
          <w:tab w:leader="none" w:pos="2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in cash, (ii) 756,105 shares of Class A common stock and (iii) 2,438,403 Class D units of the Partnership.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w:t>
      </w:r>
    </w:p>
    <w:p>
      <w:pPr>
        <w:spacing w:after="0" w:line="2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152,768 Class B units of the Partnership in accordance with the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863590" cy="2417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7"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100" w:hanging="652"/>
        <w:spacing w:after="0" w:line="255"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June 30, 2025, the Sunset Holders collectively maintained direct or indirect beneficial ownership of approximately 26.9% of the Class A common stock (determined assuming all outstanding Class B units have been exchanged for Class A common stock) and approximately 55.7% of the aggregate voting power of our outstanding Class A common stock and Class B common stock. At this time, we anticipate that the Sunset will occur on September 18, 2025.</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231F20"/>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left="660" w:right="20" w:hanging="328"/>
        <w:spacing w:after="0" w:line="254"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of average FEAUM for both the twelve months ended June 30, 2024 and 2025.</w:t>
      </w:r>
    </w:p>
    <w:p>
      <w:pPr>
        <w:spacing w:after="0" w:line="187"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0.99% and 1.02% of average FEAUM for the twelve months ended June 30, 2024 and 2025, respectively, and primarily reflected the timing of new funds and growth in our private wealth funds which earn higher fee rates.</w:t>
      </w:r>
    </w:p>
    <w:p>
      <w:pPr>
        <w:spacing w:after="0" w:line="192" w:lineRule="exact"/>
        <w:rPr>
          <w:rFonts w:ascii="Times New Roman" w:cs="Times New Roman" w:eastAsia="Times New Roman" w:hAnsi="Times New Roman"/>
          <w:sz w:val="20"/>
          <w:szCs w:val="20"/>
          <w:color w:val="auto"/>
        </w:rPr>
      </w:pPr>
    </w:p>
    <w:p>
      <w:pPr>
        <w:ind w:left="660" w:right="40" w:hanging="328"/>
        <w:spacing w:after="0" w:line="281" w:lineRule="auto"/>
        <w:tabs>
          <w:tab w:leader="none" w:pos="64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weighted-average management fee rate across SMAs and focused commingled funds was approximately 0.61% and 0.64% of average FEAUM for the twelve months ended June 30, 2024 and 2025, respectively, and primarily reflected the timing of new funds, shifts in mix between SMAs and focused commingled funds and growth in our private wealth funds which earn higher fee rates.</w:t>
      </w:r>
    </w:p>
    <w:p>
      <w:pPr>
        <w:spacing w:after="0" w:line="150" w:lineRule="exact"/>
        <w:rPr>
          <w:rFonts w:ascii="Times New Roman" w:cs="Times New Roman" w:eastAsia="Times New Roman" w:hAnsi="Times New Roman"/>
          <w:sz w:val="19"/>
          <w:szCs w:val="19"/>
          <w:color w:val="auto"/>
        </w:rPr>
      </w:pPr>
    </w:p>
    <w:p>
      <w:pPr>
        <w:ind w:left="660" w:hanging="328"/>
        <w:spacing w:after="0" w:line="25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2" w:lineRule="exact"/>
        <w:rPr>
          <w:rFonts w:ascii="Times New Roman" w:cs="Times New Roman" w:eastAsia="Times New Roman" w:hAnsi="Times New Roman"/>
          <w:sz w:val="20"/>
          <w:szCs w:val="20"/>
          <w:color w:val="231F20"/>
        </w:rPr>
      </w:pPr>
    </w:p>
    <w:p>
      <w:pPr>
        <w:ind w:left="660" w:right="20" w:hanging="328"/>
        <w:spacing w:after="0" w:line="258"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right="200" w:firstLine="648"/>
        <w:spacing w:after="0" w:line="310" w:lineRule="auto"/>
        <w:rPr>
          <w:sz w:val="20"/>
          <w:szCs w:val="20"/>
          <w:color w:val="auto"/>
        </w:rPr>
      </w:pPr>
      <w:r>
        <w:rPr>
          <w:rFonts w:ascii="Times New Roman" w:cs="Times New Roman" w:eastAsia="Times New Roman" w:hAnsi="Times New Roman"/>
          <w:sz w:val="19"/>
          <w:szCs w:val="19"/>
          <w:color w:val="auto"/>
        </w:rPr>
        <w:t>We earn two types of performance fee revenues: incentive fees and carried interest allocations, as described below. As of June 30, 2025, we had over $100 billion of performance fee-eligible capital (excluding certain legacy Greenspring funds) across over 225 programs.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7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include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231F20"/>
        </w:rPr>
        <w:t>interest allocations in respect of such legacy Greenspring funds are payable to employees who are considered affiliates to us and are therefore reflected as legacy Greenspring performance fee-related compensation in the condensed consolidated statements of income (loss).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35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7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2025 and March 31, 2025,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cash-based incentive awards and employer-related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payroll taxes.</w:t>
      </w:r>
    </w:p>
    <w:p>
      <w:pPr>
        <w:spacing w:after="0" w:line="165" w:lineRule="exact"/>
        <w:rPr>
          <w:sz w:val="20"/>
          <w:szCs w:val="20"/>
          <w:color w:val="auto"/>
        </w:rPr>
      </w:pPr>
    </w:p>
    <w:p>
      <w:pPr>
        <w:ind w:right="6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associated with the employee stock purchase plan (“ESPP”).</w:t>
      </w:r>
    </w:p>
    <w:p>
      <w:pPr>
        <w:spacing w:after="0" w:line="16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7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77" w:lineRule="exact"/>
        <w:rPr>
          <w:sz w:val="20"/>
          <w:szCs w:val="20"/>
          <w:color w:val="auto"/>
        </w:rPr>
      </w:pPr>
    </w:p>
    <w:p>
      <w:pPr>
        <w:ind w:right="46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our share of earnings (losses) from the investments we make in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20" w:firstLine="648"/>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52" w:lineRule="exact"/>
        <w:rPr>
          <w:sz w:val="20"/>
          <w:szCs w:val="20"/>
          <w:color w:val="auto"/>
        </w:rPr>
      </w:pPr>
    </w:p>
    <w:p>
      <w:pPr>
        <w:ind w:right="5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as well as the related amortization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52"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(loss) to clearly distinguish between our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w:t>
      </w:r>
    </w:p>
    <w:p>
      <w:pPr>
        <w:spacing w:after="0" w:line="17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5"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78"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2025 reflects final data for the prior period (March 31, 2025), adjusted for net new client account activity through June 30, 2025. NAV data for underlying investments is as of March 31, 2025, as reported by underlying managers up to the business day occurring on or after 100 days following March 31, 2025. When NAV data is not available by the business day occurring on or after 100 days following March 31, 2025,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7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2025 reflects final data for the prior period (March 31, 2025), adjusted for net new client account activity through June 30, 2025. NAV data for underlying investments is as of March 31, 2025, as reported by underlying managers up to the business day occurring on or after 100 days following March 31, 2025. When NAV data is not available by the business day occurring on or after 100 days following March 31, 2025, such NAVs are adjusted for cash activity following the last available reported NAV.</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9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0" w:name="page61"/>
    <w:bookmarkEnd w:id="60"/>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211,173</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178,015</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41,804</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88,883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(25,170)</w:t>
            </w:r>
          </w:p>
        </w:tc>
        <w:tc>
          <w:tcPr>
            <w:tcW w:w="0" w:type="dxa"/>
            <w:vAlign w:val="bottom"/>
          </w:tcPr>
          <w:p>
            <w:pPr>
              <w:spacing w:after="0"/>
              <w:rPr>
                <w:sz w:val="1"/>
                <w:szCs w:val="1"/>
                <w:color w:val="auto"/>
              </w:rPr>
            </w:pPr>
          </w:p>
        </w:tc>
      </w:tr>
      <w:tr>
        <w:trPr>
          <w:trHeight w:val="163"/>
        </w:trPr>
        <w:tc>
          <w:tcPr>
            <w:tcW w:w="8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113,287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16,634</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0" w:type="dxa"/>
            <w:vAlign w:val="bottom"/>
          </w:tcPr>
          <w:p>
            <w:pPr>
              <w:spacing w:after="0"/>
              <w:rPr>
                <w:sz w:val="1"/>
                <w:szCs w:val="1"/>
                <w:color w:val="auto"/>
              </w:rPr>
            </w:pPr>
          </w:p>
        </w:tc>
      </w:tr>
      <w:tr>
        <w:trPr>
          <w:trHeight w:val="163"/>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153,114</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8,386</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364,287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186,401</w:t>
            </w:r>
          </w:p>
        </w:tc>
        <w:tc>
          <w:tcPr>
            <w:tcW w:w="0" w:type="dxa"/>
            <w:vAlign w:val="bottom"/>
          </w:tcPr>
          <w:p>
            <w:pPr>
              <w:spacing w:after="0"/>
              <w:rPr>
                <w:sz w:val="1"/>
                <w:szCs w:val="1"/>
                <w:color w:val="auto"/>
              </w:rPr>
            </w:pPr>
          </w:p>
        </w:tc>
      </w:tr>
      <w:tr>
        <w:trPr>
          <w:trHeight w:val="151"/>
        </w:trPr>
        <w:tc>
          <w:tcPr>
            <w:tcW w:w="8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188,718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19,179</w:t>
            </w:r>
          </w:p>
        </w:tc>
        <w:tc>
          <w:tcPr>
            <w:tcW w:w="0" w:type="dxa"/>
            <w:vAlign w:val="bottom"/>
          </w:tcPr>
          <w:p>
            <w:pPr>
              <w:spacing w:after="0"/>
              <w:rPr>
                <w:sz w:val="1"/>
                <w:szCs w:val="1"/>
                <w:color w:val="auto"/>
              </w:rPr>
            </w:pPr>
          </w:p>
        </w:tc>
      </w:tr>
      <w:tr>
        <w:trPr>
          <w:trHeight w:val="170"/>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20,848</w:t>
            </w:r>
          </w:p>
        </w:tc>
        <w:tc>
          <w:tcPr>
            <w:tcW w:w="0" w:type="dxa"/>
            <w:vAlign w:val="bottom"/>
          </w:tcPr>
          <w:p>
            <w:pPr>
              <w:spacing w:after="0"/>
              <w:rPr>
                <w:sz w:val="1"/>
                <w:szCs w:val="1"/>
                <w:color w:val="auto"/>
              </w:rPr>
            </w:pPr>
          </w:p>
        </w:tc>
      </w:tr>
      <w:tr>
        <w:trPr>
          <w:trHeight w:val="170"/>
        </w:trPr>
        <w:tc>
          <w:tcPr>
            <w:tcW w:w="83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44,357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(10,923)</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9,925</w:t>
            </w:r>
          </w:p>
        </w:tc>
        <w:tc>
          <w:tcPr>
            <w:tcW w:w="0" w:type="dxa"/>
            <w:vAlign w:val="bottom"/>
          </w:tcPr>
          <w:p>
            <w:pPr>
              <w:spacing w:after="0"/>
              <w:rPr>
                <w:sz w:val="1"/>
                <w:szCs w:val="1"/>
                <w:color w:val="auto"/>
              </w:rPr>
            </w:pPr>
          </w:p>
        </w:tc>
      </w:tr>
      <w:tr>
        <w:trPr>
          <w:trHeight w:val="176"/>
        </w:trPr>
        <w:tc>
          <w:tcPr>
            <w:tcW w:w="836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39,637</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0" w:type="dxa"/>
            <w:vAlign w:val="bottom"/>
          </w:tcPr>
          <w:p>
            <w:pPr>
              <w:spacing w:after="0"/>
              <w:rPr>
                <w:sz w:val="1"/>
                <w:szCs w:val="1"/>
                <w:color w:val="auto"/>
              </w:rPr>
            </w:pPr>
          </w:p>
        </w:tc>
      </w:tr>
      <w:tr>
        <w:trPr>
          <w:trHeight w:val="16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380,402</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98,239</w:t>
            </w:r>
          </w:p>
        </w:tc>
        <w:tc>
          <w:tcPr>
            <w:tcW w:w="0" w:type="dxa"/>
            <w:vAlign w:val="bottom"/>
          </w:tcPr>
          <w:p>
            <w:pPr>
              <w:spacing w:after="0"/>
              <w:rPr>
                <w:sz w:val="1"/>
                <w:szCs w:val="1"/>
                <w:color w:val="auto"/>
              </w:rPr>
            </w:pPr>
          </w:p>
        </w:tc>
      </w:tr>
      <w:tr>
        <w:trPr>
          <w:trHeight w:val="17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42,914</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41,011</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423,316</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139,250</w:t>
            </w:r>
          </w:p>
        </w:tc>
        <w:tc>
          <w:tcPr>
            <w:tcW w:w="0" w:type="dxa"/>
            <w:vAlign w:val="bottom"/>
          </w:tcPr>
          <w:p>
            <w:pPr>
              <w:spacing w:after="0"/>
              <w:rPr>
                <w:sz w:val="1"/>
                <w:szCs w:val="1"/>
                <w:color w:val="auto"/>
              </w:rPr>
            </w:pPr>
          </w:p>
        </w:tc>
      </w:tr>
      <w:tr>
        <w:trPr>
          <w:trHeight w:val="151"/>
        </w:trPr>
        <w:tc>
          <w:tcPr>
            <w:tcW w:w="8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7,635</w:t>
            </w:r>
          </w:p>
        </w:tc>
        <w:tc>
          <w:tcPr>
            <w:tcW w:w="0" w:type="dxa"/>
            <w:vAlign w:val="bottom"/>
          </w:tcPr>
          <w:p>
            <w:pPr>
              <w:spacing w:after="0"/>
              <w:rPr>
                <w:sz w:val="1"/>
                <w:szCs w:val="1"/>
                <w:color w:val="auto"/>
              </w:rPr>
            </w:pPr>
          </w:p>
        </w:tc>
      </w:tr>
      <w:tr>
        <w:trPr>
          <w:trHeight w:val="170"/>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0" w:type="dxa"/>
            <w:vAlign w:val="bottom"/>
          </w:tcPr>
          <w:p>
            <w:pPr>
              <w:spacing w:after="0"/>
              <w:rPr>
                <w:sz w:val="1"/>
                <w:szCs w:val="1"/>
                <w:color w:val="auto"/>
              </w:rPr>
            </w:pPr>
          </w:p>
        </w:tc>
      </w:tr>
      <w:tr>
        <w:trPr>
          <w:trHeight w:val="17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38,679</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7,691</w:t>
            </w:r>
          </w:p>
        </w:tc>
        <w:tc>
          <w:tcPr>
            <w:tcW w:w="0" w:type="dxa"/>
            <w:vAlign w:val="bottom"/>
          </w:tcPr>
          <w:p>
            <w:pPr>
              <w:spacing w:after="0"/>
              <w:rPr>
                <w:sz w:val="1"/>
                <w:szCs w:val="1"/>
                <w:color w:val="auto"/>
              </w:rPr>
            </w:pPr>
          </w:p>
        </w:tc>
      </w:tr>
      <w:tr>
        <w:trPr>
          <w:trHeight w:val="16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54,842</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0" w:type="dxa"/>
            <w:vAlign w:val="bottom"/>
          </w:tcPr>
          <w:p>
            <w:pPr>
              <w:spacing w:after="0"/>
              <w:rPr>
                <w:sz w:val="1"/>
                <w:szCs w:val="1"/>
                <w:color w:val="auto"/>
              </w:rPr>
            </w:pPr>
          </w:p>
        </w:tc>
      </w:tr>
      <w:tr>
        <w:trPr>
          <w:trHeight w:val="16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48,045</w:t>
            </w: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0" w:type="dxa"/>
            <w:vAlign w:val="bottom"/>
          </w:tcPr>
          <w:p>
            <w:pPr>
              <w:spacing w:after="0"/>
              <w:rPr>
                <w:sz w:val="1"/>
                <w:szCs w:val="1"/>
                <w:color w:val="auto"/>
              </w:rPr>
            </w:pPr>
          </w:p>
        </w:tc>
      </w:tr>
      <w:tr>
        <w:trPr>
          <w:trHeight w:val="175"/>
        </w:trPr>
        <w:tc>
          <w:tcPr>
            <w:tcW w:w="836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rPr>
              <w:t>Less: Net income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13,324</w:t>
            </w:r>
          </w:p>
        </w:tc>
        <w:tc>
          <w:tcPr>
            <w:tcW w:w="0" w:type="dxa"/>
            <w:vAlign w:val="bottom"/>
          </w:tcPr>
          <w:p>
            <w:pPr>
              <w:spacing w:after="0"/>
              <w:rPr>
                <w:sz w:val="1"/>
                <w:szCs w:val="1"/>
                <w:color w:val="auto"/>
              </w:rPr>
            </w:pPr>
          </w:p>
        </w:tc>
      </w:tr>
      <w:tr>
        <w:trPr>
          <w:trHeight w:val="170"/>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(38,424)</w:t>
            </w:r>
          </w:p>
        </w:tc>
        <w:tc>
          <w:tcPr>
            <w:tcW w:w="24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0" w:lineRule="exact"/>
        <w:rPr>
          <w:sz w:val="20"/>
          <w:szCs w:val="20"/>
          <w:color w:val="auto"/>
        </w:rPr>
      </w:pPr>
    </w:p>
    <w:p>
      <w:pPr>
        <w:ind w:left="660" w:right="200" w:hanging="652"/>
        <w:spacing w:after="0" w:line="278"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Total revenues increased $177.9 million, or 95%, to $364.3 million for the three months ended June 30, 2025 as compared to the three months ended June 30, 2024. The overall increase was driven by higher carried interest allocations, positive legacy Greenspring carried interest allocations in the current period as compared to a reversal in the prior year period and higher management and advisory fees, net, partially offset by lower incentive fees, in each case, as described below.</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$33.2 million, or 19%, to $211.2 million for the three months ended June 30, 2025 as compared to the three months ended June 30, 2024. The increase was driven by new client activity and 28% growth in average FEAUM across the platform. The three months ended June 30, 2025 included retroactive fees of $2.9 million from the closings of StepStone’s Real Estate Partners V and infrastructure secondaries funds. The three months ended June 30, 2024 included retroactive fees of $19.1 million from the closings of StepStone’s Secondary Opportunities V, Real Estate Partners V and Infrastructure Co-Investment Partners 2022 funds.</w:t>
      </w:r>
    </w:p>
    <w:p>
      <w:pPr>
        <w:spacing w:after="0" w:line="192"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20"/>
          <w:szCs w:val="20"/>
          <w:color w:val="auto"/>
        </w:rPr>
        <w:t>Incentive fees decreased $0.7 million, or 77%, to $0.2 million for the three months ended June 30, 2025 as compared to the three months ended June 30, 2024, largely due to lower realization activity, partially offset by higher incentive fees generated by certain private wealth funds.</w:t>
      </w:r>
    </w:p>
    <w:p>
      <w:pPr>
        <w:spacing w:after="0" w:line="168" w:lineRule="exact"/>
        <w:rPr>
          <w:sz w:val="20"/>
          <w:szCs w:val="20"/>
          <w:color w:val="auto"/>
        </w:rPr>
      </w:pPr>
    </w:p>
    <w:p>
      <w:pPr>
        <w:jc w:val="both"/>
        <w:ind w:right="140" w:firstLine="648"/>
        <w:spacing w:after="0" w:line="270" w:lineRule="auto"/>
        <w:rPr>
          <w:sz w:val="20"/>
          <w:szCs w:val="20"/>
          <w:color w:val="auto"/>
        </w:rPr>
      </w:pPr>
      <w:r>
        <w:rPr>
          <w:rFonts w:ascii="Times New Roman" w:cs="Times New Roman" w:eastAsia="Times New Roman" w:hAnsi="Times New Roman"/>
          <w:sz w:val="19"/>
          <w:szCs w:val="19"/>
          <w:color w:val="auto"/>
        </w:rPr>
        <w:t>Realized carried interest allocation revenues decreased $17.4 million, or 42%, to $24.4 million for the three months ended June 30, 2025 as compared to the three months ended June 30, 2024, reflecting lower realization activity within our private equity, infrastructure and real estate funds. Unrealized carried interest allocation revenues include the reversal of realized carried interest allocation revenues.</w:t>
      </w:r>
    </w:p>
    <w:p>
      <w:pPr>
        <w:ind w:right="20"/>
        <w:spacing w:after="0" w:line="251" w:lineRule="auto"/>
        <w:rPr>
          <w:sz w:val="20"/>
          <w:szCs w:val="20"/>
          <w:color w:val="auto"/>
        </w:rPr>
      </w:pPr>
      <w:r>
        <w:rPr>
          <w:rFonts w:ascii="Times New Roman" w:cs="Times New Roman" w:eastAsia="Times New Roman" w:hAnsi="Times New Roman"/>
          <w:sz w:val="20"/>
          <w:szCs w:val="20"/>
          <w:color w:val="auto"/>
        </w:rPr>
        <w:t>Excluding the reversal of $24.4 million, unrealized carried interest allocation revenues increased $96.7 million to $113.3 million for the three months ended June 30, 2025 as compared to the three months ended June 30, 2024. The increase in unrealized carried interest allocations for the three months ended June 30, 2025 primarily reflected a net increase in the cumulative allocation of gains associated with the underlying portfolios within our private equity funds as compared to a net decrease in the prior year period.</w:t>
      </w:r>
    </w:p>
    <w:p>
      <w:pPr>
        <w:spacing w:after="0" w:line="17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Legacy Greenspring carried interest allocation revenues increased $48.7 million to $39.6 million for the three months ended June 30, 2025 as compared to the three months ended June 30, 2024 as a result of net unrealized appreciation in the fair value of certain underlying fund investments in the current year period as compared to net unrealized depreciation in the prior year period. The three months ended June 30, 2025 reflect gross realized carried interest allocations of $4.9 million and unrealized carried interest allocations, net of the reversal of realized carried interest allocations, of $34.8 million. The three months ended June 30, 2024 reflect gross realized carried interest allocations of $6.6 million and unrealized carried interest allocations, net of the reversal of realized carried interest allocations, of $(15.7)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2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0"/>
          <w:szCs w:val="20"/>
          <w:color w:val="auto"/>
        </w:rPr>
        <w:t>Total expenses increased $284.1 million, or 204%, to $423.3 million for the three months ended June 30, 2025 as compared to the three months ended June 30, 2024. The overall increase resulted from increases in equity-based compensation, legacy Greenspring performance fee-related compensation, performance fee-related compensation, cash-based compensation and general, administrative and other expenses, in each case, as described below.</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351"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$17.8 million, or 23%, to $96.0 million for the three months ended June 30, 2025 as compared to the three months ended June 30, 2024, due to increased staffing and compensation levels. Our average headcount was 14% higher in the current year period as compared to the prior year period.</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Equity-based compensation increased $169.5 million, or 884%, to $188.7 million for the three months ended June 30, 2025 as compared to the three months ended June 30, 2024. The increase was primarily attributable to a $170.5 million increase in expenses for liability classified awards related to the profits interest issued in SPW in the current year period as compared to the prior year period and restricted stock units (“RSUs”) and performance-based RSUs (“PRSUs”) granted in the current year period with no comparable expense for these grants in the prior year period. These increases were partially offset by a decrease of $2.5 million in expense due to the final vesting of RSUs issued in connection with our IPO. We expect that there may be additional significant increases in equity-based compensation in future periods due to further increases in the fair value of liability classified awards, which is driven by the performance of SPW. SPW generated profitability in fiscal 2025, and we expect that there will be an increase in the profitability generated by SPW in the future which would increase the fair value of the associated liability for the profits interest issued in SPW. As of June 30, 2025 and March 31, 2025, we had recognized $841.7 million and $663.9 million, respectively, for liability classified awards within accrued compensation and benefits in the condensed consolidated balance sheets.</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$46.1 million, or 465%, to $56.1 million for the three months ended June 30, 2025 as compared to the three months ended June 30, 2024, primarily reflecting the increase in carried interest allocation revenue. Realized performance fee-related compensation decreased $9.1 million, or 44%, to $11.7 million for the three months ended June 30, 2025 as compared to the three months ended June 30, 2024, primarily reflecting lower realization activity.</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$48.7 million to $39.6 million for the three months ended June 30, 2025 as compared to the three months ended June 30, 2024. The three months ended June 30, 2025 reflect gross realized performance fee-related compensation expense of $4.9 million and unrealized performance fee-related compensation expense, net of the reversal of realized performance fee-related compensation expense, of $34.8 million. The three months ended June 30, 2024 reflect gross realized performance fee-related compensation expense of $6.6 million and unrealized performance fee-related compensation expense, net of the reversal of realized performance fee-related compensation expense, of $(15.7) million.</w:t>
      </w:r>
    </w:p>
    <w:p>
      <w:pPr>
        <w:spacing w:after="0" w:line="17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General, administrative and other expenses increased $1.9 million, or 5%, to $42.9 million for the three months ended June 30, 2025 as compared to the three months ended June 30, 2024. The overall increase primarily reflected $2.1 million in professional fees, $0.7 million in information and technology expenses, $0.7 million in marketing and conference expenses, $0.4 million in occupancy costs, $0.3 million in general and administrative expenses for the Consolidated Funds and other general operating expenses, partially offset by a decrease of $2.9 million for lower loss on change in fair value for contingent consideration obligation.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20" w:lineRule="exact"/>
        <w:rPr>
          <w:sz w:val="20"/>
          <w:szCs w:val="20"/>
          <w:color w:val="auto"/>
        </w:rPr>
      </w:pPr>
    </w:p>
    <w:p>
      <w:pPr>
        <w:jc w:val="both"/>
        <w:ind w:right="180" w:firstLine="648"/>
        <w:spacing w:after="0" w:line="310" w:lineRule="auto"/>
        <w:rPr>
          <w:sz w:val="20"/>
          <w:szCs w:val="20"/>
          <w:color w:val="auto"/>
        </w:rPr>
      </w:pPr>
      <w:r>
        <w:rPr>
          <w:rFonts w:ascii="Times New Roman" w:cs="Times New Roman" w:eastAsia="Times New Roman" w:hAnsi="Times New Roman"/>
          <w:sz w:val="19"/>
          <w:szCs w:val="19"/>
          <w:color w:val="auto"/>
        </w:rPr>
        <w:t>Investment income increased $7.9 million, or 305%, to $10.5 million for the three months ended June 30, 2025 as compared to the three months ended June 30, 2024, primarily reflecting overall changes in the valuations of the underlying investments in StepStone Funds.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3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income (loss) increased $4.6 million to income of $3.4 million for the three months ended June 30, 2025 as compared to the three months ended June 30, 2024. The three months ended June 30, 2025 reflect gross realized investment income of $1.8 million and unrealized investment income, net of the reversal of realized investment income, of $1.6 million. The three months ended June 30, 2024 reflect gross realized investment income of $0.9 million and unrealized investment loss, net of the reversal of realized investment income, of $2.1 million.</w:t>
      </w:r>
    </w:p>
    <w:p>
      <w:pPr>
        <w:spacing w:after="0" w:line="192"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9"/>
          <w:szCs w:val="19"/>
          <w:color w:val="auto"/>
        </w:rPr>
        <w:t>Investment income of Consolidated Funds increased $14.0 million, or 184%, to $21.7 million for the three months ended June 30, 2025 as compared to the three months ended June 30, 2024, primarily reflecting overall changes in the valuations of the underlying investments of the Consolidated Funds on higher investment balances during the current year period as compared with the prior year period.</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Interest income increased $0.4 million, or 21%, to $2.5 million for the three months ended June 30, 2025 as compared to the three months ended June 30, 2024, primarily due to higher average cash and cash equivalent balances during the current year period as compared with the prior year period. Interest income attributable to Consolidated Funds was $1.0 million in the current year period as compared to $0.9 million in the prior year period.</w:t>
      </w:r>
    </w:p>
    <w:p>
      <w:pPr>
        <w:spacing w:after="0" w:line="17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$1.5 million, or 52%, to $4.5 million for the three months ended June 30, 2025 as compared to the three months ended June 30, 2024. The increase was due to higher average outstanding debt balances during the current year period as compared with the prior year period, partially offset by the lower interest rate on the Notes for the current year period.</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Other income (loss) increased $5.5 million to income of $5.2 million for the three months ended June 30, 2025 as compared to the three months ended June 30, 2024, primarily reflecting net foreign currency transaction gains in the current year period as compared with net foreign currency transaction losses in the prior year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20" w:lineRule="exact"/>
        <w:rPr>
          <w:sz w:val="20"/>
          <w:szCs w:val="20"/>
          <w:color w:val="auto"/>
        </w:rPr>
      </w:pPr>
    </w:p>
    <w:p>
      <w:pPr>
        <w:ind w:right="90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Our effective income tax rate was 41.0% and 12.4% for the three months ended June 30, 2025 and 2024, respectively. The increase in the effective tax rate for the three months ended June 30, 2025 as compared to the prior year period was driven, in part, by the additional tax benefit associated with losses that were not allocated to non-controlling interests. For the three months ended June 30, 2024, the lower effective tax rate relative to the statutory rate was primarily due to the allocation of income to non-controlling interests in a period of pre-tax net income, for which the tax liability on such income is borne by the holders of those non-controlling interests.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Income tax expense decreased $15.1 million to a benefit of $8.3 million for the three months ended June 30, 2025 as compared to expense for the three months ended June 30, 2024. The decrease in tax expense was primarily driven by a tax benefit associated with income allocated to non-controlling interests, which had a greater impact in the current year period due to pre-tax net loss for the three months ended June 30, 2025 as compared to pre-tax net income for the three months ended June 30, 2024.</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$12.0 million, or 72%, to $28.6 million for the three months ended June 30, 2025 as compared to the three months ended June 30, 2024. The increase was primarily attributable to an increase in income generated by our consolidated subsidiaries not wholly-owned by us, partially offset by an increase in our economic interests in the Asset Class Entities as a result of the Transaction Agreements resulting in a lower rate of allocation of net income to non-controlling interests in subsidiaries.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$3.4 million and $(1.3) million for the three months ended June 30, 2025 and 2024, respectively.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9"/>
          <w:szCs w:val="19"/>
          <w:color w:val="auto"/>
        </w:rPr>
        <w:t>Net income (loss) attributable to non-controlling interests in the Partnership represents the portion of net income or loss attributable to the interests held by the Class B, Class C and Class D unitholders of the Partnership. Net income (loss) attributable to non-controlling interests in the Partnership was $(27.1) million and $13.3 million for the three months ended June 30, 2025 and 2024,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2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represents income of the Consolidated Funds attributable to third-party investors. Net income attributable to redeemable non-controlling interests in Consolidated Funds was $21.0 million and $5.7 million for the three months ended June 30, 2025 and 2024,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$0.6 million and $0.4 million for the three months ended June 30, 2025 and 2024, respectively.</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$199 billion as of June 30, 2025, $189 billion as of March 31, 2025 and $169 billion as of June 30, 2024.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Assets related to our advisory accounts were $524 billion as of June 30, 2025, $520 billion as of March 31, 2025 and $531 billion as of June 30,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w:t>
      </w:r>
    </w:p>
    <w:p>
      <w:pPr>
        <w:spacing w:after="0" w:line="220"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$5.8 billion to $127.2 billion as of June 30, 2025 as compared to March 31, 2025. During the period, FEAUM from SMAs increased approximately $3.5 billion and FEAUM from commingled funds increased approximately $2.3 billion.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Focused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Commingled</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7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0" w:type="dxa"/>
            <w:vAlign w:val="bottom"/>
          </w:tcPr>
          <w:p>
            <w:pPr>
              <w:spacing w:after="0"/>
              <w:rPr>
                <w:sz w:val="1"/>
                <w:szCs w:val="1"/>
                <w:color w:val="auto"/>
              </w:rPr>
            </w:pPr>
          </w:p>
        </w:tc>
      </w:tr>
      <w:tr>
        <w:trPr>
          <w:trHeight w:val="229"/>
        </w:trPr>
        <w:tc>
          <w:tcPr>
            <w:tcW w:w="70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100,356</w:t>
            </w: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5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5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0.61 %</w:t>
            </w:r>
          </w:p>
        </w:tc>
      </w:tr>
      <w:tr>
        <w:trPr>
          <w:trHeight w:val="21"/>
        </w:trPr>
        <w:tc>
          <w:tcPr>
            <w:tcW w:w="58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hanging="652"/>
        <w:spacing w:after="0" w:line="26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mix between SMAs and focused commingled funds and growth in our private wealth funds which earn higher fee rates.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6" w:lineRule="exact"/>
        <w:rPr>
          <w:sz w:val="20"/>
          <w:szCs w:val="20"/>
          <w:color w:val="auto"/>
        </w:rPr>
      </w:pPr>
    </w:p>
    <w:p>
      <w:pPr>
        <w:ind w:left="660" w:right="20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asset class mix, shifts in mix between SMAs and focused commingled funds and growth in our private wealth funds which earn higher fee rates.</w:t>
      </w:r>
    </w:p>
    <w:p>
      <w:pPr>
        <w:spacing w:after="0" w:line="1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As of June 30, 2025, we had $28.7 billion of undeployed fee-earning capital, which will generate management fee revenue once invested or activated.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w:t>
      </w:r>
    </w:p>
    <w:p>
      <w:pPr>
        <w:spacing w:after="0" w:line="4" w:lineRule="exact"/>
        <w:rPr>
          <w:sz w:val="20"/>
          <w:szCs w:val="20"/>
          <w:color w:val="auto"/>
        </w:rPr>
      </w:pPr>
    </w:p>
    <w:p>
      <w:pPr>
        <w:ind w:firstLine="8"/>
        <w:spacing w:after="0" w:line="253" w:lineRule="auto"/>
        <w:tabs>
          <w:tab w:leader="none" w:pos="26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FRE increased $9.6 million, or 13%, to $81.2 million for the three months ended June 30, 2025 as compared to the three months ended June 30, 2024, primarily reflecting higher fee revenues,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2025 Compared to Three Months Ended June 30, 2024</w:t>
      </w:r>
    </w:p>
    <w:p>
      <w:pPr>
        <w:spacing w:after="0" w:line="2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$16.3 million, or 7%, to $237.5 million for the three months ended June 30, 2025 as compared to the three months ended June 30, 2024, primarily reflecting increases in fee revenues, partially offset by decreases in realized carried interest allocations and adjusted incentive fees.</w:t>
      </w:r>
    </w:p>
    <w:p>
      <w:pPr>
        <w:spacing w:after="0" w:line="1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ANI decreased $8.7 million, or 15%, to $48.5 million for the three months ended June 30, 2025 as compared to the three months ended June 30, 2024, primarily due to a decrease in performance fee-related earnings (adjusted incentive fees, plus realized carried interest allocation revenues, less realized performance fee-related compensation) and a higher allocation of income to non-controlling interests. The overall decrease was partially offset by an increase in FRE as discussed above.</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8" w:name="page69"/>
    <w:bookmarkEnd w:id="6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19"/>
          <w:szCs w:val="19"/>
          <w:color w:val="auto"/>
        </w:rPr>
        <w:t>The following table shows a reconciliation of diluted weighted-average shares of Class A common stock outstanding to adjusted weighted-average shares outstanding used in the computation of ANI per share for the three months ended June 30,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57,241</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77,846,710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66,187,754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673,854</w:t>
            </w:r>
          </w:p>
        </w:tc>
        <w:tc>
          <w:tcPr>
            <w:tcW w:w="0" w:type="dxa"/>
            <w:vAlign w:val="bottom"/>
          </w:tcPr>
          <w:p>
            <w:pPr>
              <w:spacing w:after="0"/>
              <w:rPr>
                <w:sz w:val="1"/>
                <w:szCs w:val="1"/>
                <w:color w:val="auto"/>
              </w:rPr>
            </w:pPr>
          </w:p>
        </w:tc>
      </w:tr>
      <w:tr>
        <w:trPr>
          <w:trHeight w:val="229"/>
        </w:trPr>
        <w:tc>
          <w:tcPr>
            <w:tcW w:w="76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Assumed vesting and exchange of Class B2 units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1,732,153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45,827,707</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1,849,846</w:t>
            </w: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3,530,125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2,239,185</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122,292,943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118,510,499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B2 units fully vested in June 2024.</w:t>
      </w:r>
    </w:p>
    <w:p>
      <w:pPr>
        <w:spacing w:after="0" w:line="9" w:lineRule="exact"/>
        <w:rPr>
          <w:rFonts w:ascii="Times New Roman" w:cs="Times New Roman" w:eastAsia="Times New Roman" w:hAnsi="Times New Roman"/>
          <w:sz w:val="18"/>
          <w:szCs w:val="18"/>
          <w:color w:val="auto"/>
        </w:rPr>
      </w:pPr>
    </w:p>
    <w:p>
      <w:pPr>
        <w:ind w:left="660" w:right="260" w:hanging="652"/>
        <w:spacing w:after="0" w:line="26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17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186,401</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221,165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5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178,015</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0"/>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70"/>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Interest income earned by the Consolidated Funds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54,842</w:t>
            </w:r>
          </w:p>
        </w:tc>
      </w:tr>
      <w:tr>
        <w:trPr>
          <w:trHeight w:val="229"/>
        </w:trPr>
        <w:tc>
          <w:tcPr>
            <w:tcW w:w="76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in legacy Greenspring entities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Receivable Agreements adjustments through earnings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r>
      <w:tr>
        <w:trPr>
          <w:trHeight w:val="230"/>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57,241</w:t>
            </w:r>
          </w:p>
        </w:tc>
      </w:tr>
      <w:tr>
        <w:trPr>
          <w:trHeight w:val="230"/>
        </w:trPr>
        <w:tc>
          <w:tcPr>
            <w:tcW w:w="76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20,848</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7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$8.5 million and $0.6 million for the three months ended June 30, 2025 and 2024, respectively. Amounts specifically attributable to non-controlling interests in subsidiaries not attributable to the private wealth subsidiary were $22.3 million and $18.3 million for the three months ended June 30, 2025 and 2024, respectively.</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60" w:right="80" w:hanging="652"/>
        <w:spacing w:after="0" w:line="253"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($0.6 million and $0.7 million for the three months ended June 30, 2025 and 2024, respectively), unrealized amounts associated with cash-based incentive awards tracked to investment funds ($17 thousand for the three months ended June 30, 2025), loss on change in fair value for contingent consideration obligation ($0.1 million and $3.0 million for the three months ended June 30, 2025 and 2024, respectively), compensation paid to certain employees as part of an acquisition earn-out ($0.5 million for the three months ended June 30, 2024) and other non-core operating income and expenses.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56" w:lineRule="exact"/>
        <w:rPr>
          <w:sz w:val="20"/>
          <w:szCs w:val="20"/>
          <w:color w:val="auto"/>
        </w:rPr>
      </w:pPr>
    </w:p>
    <w:p>
      <w:pPr>
        <w:ind w:left="660" w:right="20" w:hanging="652"/>
        <w:spacing w:after="0" w:line="261"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applied to pre-tax ANI for the three months ended June 30, 2025 and 2024, which is based on a federal statutory rate of 21.0% and a combined state, local and foreign rate net of federal benefits of 1.3%.</w:t>
      </w:r>
    </w:p>
    <w:p>
      <w:pPr>
        <w:ind w:left="660" w:right="180" w:hanging="652"/>
        <w:spacing w:after="0" w:line="250"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March 31, 2025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29"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7"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3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29" w:lineRule="exact"/>
        <w:rPr>
          <w:sz w:val="20"/>
          <w:szCs w:val="20"/>
          <w:color w:val="auto"/>
        </w:rPr>
      </w:pPr>
    </w:p>
    <w:p>
      <w:pPr>
        <w:ind w:left="660" w:right="100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72"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March 31, 2025;</w:t>
      </w:r>
    </w:p>
    <w:p>
      <w:pPr>
        <w:spacing w:after="0" w:line="146"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 refers to the annualized internal rate of return for all investments within the relevant investment strategy on an inception-to-date basis as of March 31, 2025 (except as noted otherwise below), based on contributions, distributions and unrealized value;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1"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94"/>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(1,2,4)</w:t>
            </w:r>
          </w:p>
        </w:tc>
        <w:tc>
          <w:tcPr>
            <w:tcW w:w="900" w:type="dxa"/>
            <w:vAlign w:val="bottom"/>
            <w:shd w:val="clear" w:color="auto" w:fill="CCEEFF"/>
          </w:tcPr>
          <w:p>
            <w:pPr>
              <w:jc w:val="center"/>
              <w:ind w:left="194"/>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78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(1,4,6)</w:t>
            </w:r>
          </w:p>
        </w:tc>
        <w:tc>
          <w:tcPr>
            <w:tcW w:w="520" w:type="dxa"/>
            <w:vAlign w:val="bottom"/>
            <w:shd w:val="clear" w:color="auto" w:fill="CCEEFF"/>
          </w:tcPr>
          <w:p>
            <w:pPr>
              <w:jc w:val="center"/>
              <w:ind w:right="7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color w:val="auto"/>
                <w:w w:val="99"/>
              </w:rPr>
              <w:t>14.1%</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 - all strategies</w:t>
            </w:r>
          </w:p>
        </w:tc>
        <w:tc>
          <w:tcPr>
            <w:tcW w:w="52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9"/>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94"/>
              <w:spacing w:after="0"/>
              <w:rPr>
                <w:sz w:val="20"/>
                <w:szCs w:val="20"/>
                <w:color w:val="auto"/>
              </w:rPr>
            </w:pPr>
            <w:r>
              <w:rPr>
                <w:rFonts w:ascii="Times New Roman" w:cs="Times New Roman" w:eastAsia="Times New Roman" w:hAnsi="Times New Roman"/>
                <w:sz w:val="14"/>
                <w:szCs w:val="14"/>
                <w:color w:val="auto"/>
                <w:w w:val="99"/>
              </w:rPr>
              <w:t>14.8%</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1.4x</w:t>
            </w:r>
          </w:p>
        </w:tc>
        <w:tc>
          <w:tcPr>
            <w:tcW w:w="80" w:type="dxa"/>
            <w:vAlign w:val="bottom"/>
            <w:vMerge w:val="restart"/>
            <w:shd w:val="clear" w:color="auto" w:fill="CCEEFF"/>
          </w:tcPr>
          <w:p>
            <w:pPr>
              <w:spacing w:after="0"/>
              <w:rPr>
                <w:sz w:val="12"/>
                <w:szCs w:val="12"/>
                <w:color w:val="auto"/>
              </w:rPr>
            </w:pPr>
          </w:p>
        </w:tc>
        <w:tc>
          <w:tcPr>
            <w:tcW w:w="18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2"/>
                <w:szCs w:val="12"/>
                <w:color w:val="auto"/>
              </w:rPr>
            </w:pPr>
          </w:p>
        </w:tc>
        <w:tc>
          <w:tcPr>
            <w:tcW w:w="1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9"/>
                <w:szCs w:val="9"/>
                <w:color w:val="auto"/>
              </w:rPr>
              <w:t>(7)</w:t>
            </w:r>
          </w:p>
        </w:tc>
        <w:tc>
          <w:tcPr>
            <w:tcW w:w="900" w:type="dxa"/>
            <w:vAlign w:val="bottom"/>
            <w:vMerge w:val="restart"/>
          </w:tcPr>
          <w:p>
            <w:pPr>
              <w:jc w:val="center"/>
              <w:ind w:left="194"/>
              <w:spacing w:after="0"/>
              <w:rPr>
                <w:sz w:val="20"/>
                <w:szCs w:val="20"/>
                <w:color w:val="auto"/>
              </w:rPr>
            </w:pPr>
            <w:r>
              <w:rPr>
                <w:rFonts w:ascii="Times New Roman" w:cs="Times New Roman" w:eastAsia="Times New Roman" w:hAnsi="Times New Roman"/>
                <w:sz w:val="14"/>
                <w:szCs w:val="14"/>
                <w:color w:val="auto"/>
                <w:w w:val="99"/>
              </w:rPr>
              <w:t>15.3%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20" w:hanging="652"/>
        <w:spacing w:after="0" w:line="250" w:lineRule="auto"/>
        <w:tabs>
          <w:tab w:leader="none" w:pos="654"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Investment returns reflect NAV data for underlying investments as of March 31, 2025, as reported by underlying managers up to </w:t>
      </w:r>
      <w:r>
        <w:rPr>
          <w:rFonts w:ascii="Times New Roman" w:cs="Times New Roman" w:eastAsia="Times New Roman" w:hAnsi="Times New Roman"/>
          <w:sz w:val="18"/>
          <w:szCs w:val="18"/>
          <w:color w:val="231F20"/>
        </w:rPr>
        <w:t>the 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occurring on or after 100 </w:t>
      </w:r>
      <w:r>
        <w:rPr>
          <w:rFonts w:ascii="Times New Roman" w:cs="Times New Roman" w:eastAsia="Times New Roman" w:hAnsi="Times New Roman"/>
          <w:sz w:val="18"/>
          <w:szCs w:val="18"/>
          <w:color w:val="000000"/>
        </w:rPr>
        <w:t>days following March 31, 2025. For investment returns where NAV data is not available by</w:t>
      </w:r>
      <w:r>
        <w:rPr>
          <w:rFonts w:ascii="Times New Roman" w:cs="Times New Roman" w:eastAsia="Times New Roman" w:hAnsi="Times New Roman"/>
          <w:sz w:val="18"/>
          <w:szCs w:val="18"/>
          <w:color w:val="231F20"/>
        </w:rPr>
        <w:t xml:space="preserve"> the business day occurring on or after 100 </w:t>
      </w:r>
      <w:r>
        <w:rPr>
          <w:rFonts w:ascii="Times New Roman" w:cs="Times New Roman" w:eastAsia="Times New Roman" w:hAnsi="Times New Roman"/>
          <w:sz w:val="18"/>
          <w:szCs w:val="18"/>
          <w:color w:val="000000"/>
        </w:rPr>
        <w:t>days following March 31, 2025, such NAVs are adjusted for cash activity following the last available reported NAV. Investment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231F20"/>
        </w:rPr>
      </w:pPr>
    </w:p>
    <w:p>
      <w:pPr>
        <w:ind w:left="660" w:right="40" w:hanging="652"/>
        <w:spacing w:after="0" w:line="25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2,987 investments totaling $214.6 billion of capital commitments and excludes (i) two advisory co-investments, totaling $100.0 million of capital commitments, (ii) 240 client-directed private equity investments, totaling $32.9 billion of capital commitments, and (iii) investments that do not have client data monitored in SPI Reporting.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accounts (“StepStone PE Accounts”).</w:t>
      </w:r>
    </w:p>
    <w:p>
      <w:pPr>
        <w:spacing w:after="0" w:line="2"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1"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28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300" w:right="80" w:hanging="644"/>
        <w:spacing w:after="0" w:line="250"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hanging="644"/>
        <w:spacing w:after="0" w:line="255" w:lineRule="auto"/>
        <w:tabs>
          <w:tab w:leader="none" w:pos="12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of net committed capital for infrastructure co-investments and direct asset management investments, respectively; 65 basis points of net asset value for private debt; 200 basis points of net invested capital for the StepStone VC Platform.</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6" w:lineRule="exact"/>
        <w:rPr>
          <w:sz w:val="20"/>
          <w:szCs w:val="20"/>
          <w:color w:val="auto"/>
        </w:rPr>
      </w:pPr>
    </w:p>
    <w:p>
      <w:pPr>
        <w:ind w:left="1300" w:right="860" w:hanging="644"/>
        <w:spacing w:after="0" w:line="261" w:lineRule="auto"/>
        <w:tabs>
          <w:tab w:leader="none" w:pos="1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300" w:right="180" w:hanging="644"/>
        <w:spacing w:after="0" w:line="250"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respectively, of paid and unrealized carry with no preferred return hurdle.</w:t>
      </w:r>
    </w:p>
    <w:p>
      <w:pPr>
        <w:spacing w:after="0" w:line="9" w:lineRule="exact"/>
        <w:rPr>
          <w:sz w:val="20"/>
          <w:szCs w:val="20"/>
          <w:color w:val="auto"/>
        </w:rPr>
      </w:pPr>
    </w:p>
    <w:p>
      <w:pPr>
        <w:ind w:left="660" w:right="32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right="2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486 investments totaling $85.8 billion of capital commitments and excludes (i) 93 client-directed real estate investments, totaling $15.0 billion of capital commitments, (ii) 17 secondary/co-investment core/core+ or credit investments, totaling $1.1 billion of capital commitments, (iii) four advisory fund investments totaling $463.6 million of capital commitments, and (iv)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303 investments totaling $64.3 billion of capital commitments and excludes (i) 8 infrastructure investments made by the Partnership prior to the formation of the infrastructure subsidiary in 2013 or made prior to StepStone’s acquisition of Courtland Partners, Ltd. on April 1, 2018 (the “Courtland acquisition”), totaling $501.9 million of capital commitments, (ii) 43 client-directed infrastructure investments, totaling $10.5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1,462 investments totaling $60.0 billion of capital commitments and excludes (i) 44 client-directed debt investments, totaling $3.5 billion of capital commitments, (ii) 50 real estate credit investments that were recommended by Courtland Partners, Ltd. prior to the Courtland acquisition, totaling $5.1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all strategies except for direct lending, mezzanine and distressed/non-performing debt.</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17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9"/>
          <w:szCs w:val="19"/>
          <w:color w:val="auto"/>
        </w:rPr>
        <w:t>As of June 30, 2025, we had $192.0 million of cash, cash equivalents and restricted cash ($244.7 million including Consolidated Funds) and $1,787.9 million of investments in StepStone Funds, including $1,585.2 million of accrued carried interest allocations, against $269.6 million in debt obligations, net of debt issuance costs, and $802.3 million in accrued carried interest-related compensation payable.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35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flows to meet our liquidity and capital resources requirements for the next 12 months.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20"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20" w:lineRule="exact"/>
        <w:rPr>
          <w:sz w:val="20"/>
          <w:szCs w:val="20"/>
          <w:color w:val="auto"/>
        </w:rPr>
      </w:pPr>
    </w:p>
    <w:p>
      <w:pPr>
        <w:jc w:val="both"/>
        <w:ind w:right="880" w:firstLine="648"/>
        <w:spacing w:after="0" w:line="310" w:lineRule="auto"/>
        <w:rPr>
          <w:sz w:val="20"/>
          <w:szCs w:val="20"/>
          <w:color w:val="auto"/>
        </w:rPr>
      </w:pPr>
      <w:r>
        <w:rPr>
          <w:rFonts w:ascii="Times New Roman" w:cs="Times New Roman" w:eastAsia="Times New Roman" w:hAnsi="Times New Roman"/>
          <w:sz w:val="19"/>
          <w:szCs w:val="19"/>
          <w:color w:val="auto"/>
        </w:rPr>
        <w:t>Operating activities provided $46.3 million and $50.2 million of cash for the three months ended June 30, 2025 and 2024, respectively. For the three months ended June 30, 2025 and 2024, respectively, these amounts primarily consisted of the following:</w:t>
      </w:r>
    </w:p>
    <w:p>
      <w:pPr>
        <w:spacing w:after="0" w:line="138" w:lineRule="exact"/>
        <w:rPr>
          <w:sz w:val="20"/>
          <w:szCs w:val="20"/>
          <w:color w:val="auto"/>
        </w:rPr>
      </w:pPr>
    </w:p>
    <w:p>
      <w:pPr>
        <w:ind w:left="980" w:right="20" w:hanging="324"/>
        <w:spacing w:after="0" w:line="254" w:lineRule="auto"/>
        <w:tabs>
          <w:tab w:leader="none" w:pos="96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fair value adjustment for acquisition-related contingent consideration), of $111.6 million and $97.1 million;</w:t>
      </w:r>
    </w:p>
    <w:p>
      <w:pPr>
        <w:spacing w:after="0" w:line="18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$12.8 million and $(20.4)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$20.8 million and $7.3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$57.7 million and $19.1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$0.4 million and $(0.2)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used $11.8 million and $13.2 million of cash for the three months ended June 30, 2025 and 2024,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$11.5 million and $10.0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distributions from investments in legacy Greenspring entities of $0.8 million and $(2.6)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$1.1 million and $0.6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20"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used $72.2 million and $22.9 million of cash for the three months ended June 30, 2025 and 2024, respectively, and primarily consisted of the following:</w:t>
      </w:r>
    </w:p>
    <w:p>
      <w:pPr>
        <w:spacing w:after="0" w:line="146" w:lineRule="exact"/>
        <w:rPr>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on revolving credit facility of $0 million and $25.0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$0 million and $1.8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from non-controlling interests of $1.5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$60.2 million and $30.1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$10.3 million and $5.4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$0 million and $13.0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$0.4 million and $7.1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$3.0 million and $5.4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$50.3 million and $23.8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$11.5 million and $9.8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$67.7 million and $34.3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of redeemable non-controlling interests in Consolidated Funds of $6.6 million and $0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76" w:name="page77"/>
    <w:bookmarkEnd w:id="76"/>
    <w:p>
      <w:pPr>
        <w:spacing w:after="0" w:line="35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2025 was 6.43%.</w:t>
      </w:r>
    </w:p>
    <w:p>
      <w:pPr>
        <w:spacing w:after="0" w:line="17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June 30, 2025, we had outstanding letters of credit totaling $10.0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20" w:lineRule="exact"/>
        <w:rPr>
          <w:sz w:val="20"/>
          <w:szCs w:val="20"/>
          <w:color w:val="auto"/>
        </w:rPr>
      </w:pPr>
    </w:p>
    <w:p>
      <w:pPr>
        <w:jc w:val="both"/>
        <w:ind w:right="360" w:firstLine="648"/>
        <w:spacing w:after="0" w:line="268"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6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Consolidated Funds</w:t>
      </w:r>
    </w:p>
    <w:p>
      <w:pPr>
        <w:spacing w:after="0" w:line="220"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us.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3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June 30, 2025, there were no outstanding borrowings under the Fund Credit Facility.</w:t>
      </w:r>
    </w:p>
    <w:p>
      <w:pPr>
        <w:spacing w:after="0" w:line="172"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Covenants</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spacing w:after="0" w:line="17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June 30, 2025, we were in compliance with the covenants under our various debt agreements.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w:t>
      </w:r>
    </w:p>
    <w:p>
      <w:pPr>
        <w:spacing w:after="0" w:line="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33"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color w:val="auto"/>
        </w:rPr>
        <w:t>On August 7, 2025, we announced a dividend of $0.28 per share of Class A common stock, payable on September 15, 2025 to holders of record at the close of business on August 29, 2025.</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28, 2024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2025</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FY2026</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1"/>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2024 and 2025, respectively.</w:t>
      </w:r>
    </w:p>
    <w:p>
      <w:pPr>
        <w:spacing w:after="0" w:line="20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Agreement Payment</w:t>
      </w:r>
    </w:p>
    <w:p>
      <w:pPr>
        <w:spacing w:after="0" w:line="233"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1" w:lineRule="exact"/>
        <w:rPr>
          <w:sz w:val="20"/>
          <w:szCs w:val="20"/>
          <w:color w:val="auto"/>
        </w:rPr>
      </w:pPr>
    </w:p>
    <w:p>
      <w:pPr>
        <w:ind w:right="40" w:firstLine="8"/>
        <w:spacing w:after="0" w:line="248" w:lineRule="auto"/>
        <w:tabs>
          <w:tab w:leader="none" w:pos="2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June 30, 2025, based on the fair value of the liability classified awards, the estimated minimum and maximum amount of cash that would be potentially payable to settle the liability under the Private Wealth Transaction was $209.5 million and $838.1 million, respectively. See note 9 to our condensed consolidated financial statements included elsewhere in this quarterly report for more information. The assumptions used in the fair value analysis are inherently subjective; therefore, the ultimate settlement amount for the liability classified awards may differ materially from the current estimate.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351"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2025 for a summary of our significant accounting policies.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June 30, 2025, and March 31, 2025, NAV-based management fees represented approximately 16% and 14%, respectively, of total net management and advisory fees. We estimate that a 10% decline in market values of the investments held in our funds as of June 30, 2025 and March 31, 2025, would result in an approximate decrease to annual management fees of $12.9 million and $11.2 million, respectively.</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1" w:lineRule="exact"/>
        <w:rPr>
          <w:sz w:val="20"/>
          <w:szCs w:val="20"/>
          <w:color w:val="auto"/>
        </w:rPr>
      </w:pPr>
    </w:p>
    <w:p>
      <w:pPr>
        <w:ind w:left="660" w:right="220" w:hanging="328"/>
        <w:spacing w:after="0" w:line="258"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June 30, 2025 and March 31, 2025, we had $22.3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351" w:lineRule="exact"/>
        <w:rPr>
          <w:sz w:val="20"/>
          <w:szCs w:val="20"/>
          <w:color w:val="auto"/>
        </w:rPr>
      </w:pPr>
    </w:p>
    <w:p>
      <w:pPr>
        <w:ind w:left="660" w:hanging="328"/>
        <w:spacing w:after="0" w:line="249"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June 30, 2025, and March 31, 2025, the maximum amount of carried interest allocations (excluding legacy Greenspring carried interest allocations) subject to contingent repayment, net of tax, was an estimated $367.1 million and $355.0 million, respectively, assuming the fair value of all investments was zero, a possibility that we view as remote. The primary driver for the change in the contingent repayment between periods is due to additional carried interest allocation realizations in fiscal 2026 that are potentially subject to clawback.</w:t>
      </w:r>
    </w:p>
    <w:p>
      <w:pPr>
        <w:spacing w:after="0" w:line="200"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June 30, 2025 and March 31, 2025, we estimate that a 10% decline in fair value of the investments in funds would result in a decrease in investment income of $20.3 million and $18.4 million, respectively.</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7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As of June 30, 2025 and March 31, 2025, we had $175.0 million outstanding under our Notes and $100.0 million in borrowings outstanding under our Revolver. The Revolver accrues interest at a variable rate and the Notes accrue interest at a fixed rate of 5.52%. As of June 30, 2025 and March 31, 2025, we estimate that interest expense would increase by $2.8 million and $2.8 million, respectively, on an annualized basis as a result of a 100 basis point increase in interest rates. Based on the $192.0 million and $245.3 million of cash, cash equivalents and restricted cash (excluding Consolidated Funds) as of June 30, 2025 and March 31, 2025, we estimate that interest income would increase by $1.9 million and $2.5 million, respectively, on an annualized basis as a result of a 100 basis point increase in interest rates.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33"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June 30, 2025, that have materially affected, or are reasonably likely to materially affect, our internal control over financial reporting.</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33"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3" w:name="page84"/>
    <w:bookmarkEnd w:id="83"/>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from the risk factors previously disclosed in Part I, Item 1A of our annual report on Form 10-K for the fiscal year ended March 31, 2025.</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Trading Arrangements.</w:t>
      </w:r>
    </w:p>
    <w:p>
      <w:pPr>
        <w:spacing w:after="0" w:line="21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20"/>
          <w:szCs w:val="20"/>
          <w:color w:val="auto"/>
        </w:rPr>
        <w:t>During the quarter ended June 30, 2025,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4" w:name="page85"/>
    <w:bookmarkEnd w:id="84"/>
    <w:p>
      <w:pPr>
        <w:spacing w:after="0" w:line="3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0" w:type="dxa"/>
            <w:vAlign w:val="bottom"/>
          </w:tcPr>
          <w:p>
            <w:pPr>
              <w:spacing w:after="0"/>
              <w:rPr>
                <w:sz w:val="15"/>
                <w:szCs w:val="15"/>
                <w:color w:val="auto"/>
              </w:rPr>
            </w:pPr>
          </w:p>
        </w:tc>
        <w:tc>
          <w:tcPr>
            <w:tcW w:w="94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2"/>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sectPr>
      </w:pPr>
    </w:p>
    <w:tbl>
      <w:tblPr>
        <w:tblLayout w:type="fixed"/>
        <w:tblInd w:w="1" w:type="dxa"/>
        <w:tblCellMar>
          <w:top w:w="0" w:type="dxa"/>
          <w:left w:w="0" w:type="dxa"/>
          <w:bottom w:w="0" w:type="dxa"/>
          <w:right w:w="0" w:type="dxa"/>
        </w:tblCellMar>
      </w:tblP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80" w:type="dxa"/>
            <w:vAlign w:val="bottom"/>
            <w:gridSpan w:val="15"/>
          </w:tcPr>
          <w:p>
            <w:pPr>
              <w:spacing w:after="0" w:line="194"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Certificate of Incorporation of</w:t>
              </w:r>
            </w:hyperlink>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StepStone Group Inc.</w:t>
              </w:r>
            </w:hyperlink>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80" w:type="dxa"/>
            <w:vAlign w:val="bottom"/>
            <w:gridSpan w:val="15"/>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Bylaws of StepStone Group Inc.</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gridSpan w:val="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580" w:type="dxa"/>
            <w:vAlign w:val="bottom"/>
            <w:gridSpan w:val="1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Change in Control Severance Agreement, dated as of May 20,</w:t>
              </w:r>
            </w:hyperlink>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0" w:type="dxa"/>
            <w:vAlign w:val="bottom"/>
          </w:tcPr>
          <w:p>
            <w:pPr>
              <w:spacing w:after="0"/>
              <w:rPr>
                <w:sz w:val="13"/>
                <w:szCs w:val="13"/>
                <w:color w:val="auto"/>
              </w:rPr>
            </w:pPr>
          </w:p>
        </w:tc>
        <w:tc>
          <w:tcPr>
            <w:tcW w:w="44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2025, by and among the Company, the Partnership and David</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102">
              <w:r>
                <w:rPr>
                  <w:rFonts w:ascii="Times New Roman" w:cs="Times New Roman" w:eastAsia="Times New Roman" w:hAnsi="Times New Roman"/>
                  <w:sz w:val="18"/>
                  <w:szCs w:val="18"/>
                  <w:color w:val="0000FF"/>
                  <w:w w:val="90"/>
                </w:rPr>
                <w:t>Y. Park.</w:t>
              </w:r>
            </w:hyperlink>
          </w:p>
        </w:tc>
        <w:tc>
          <w:tcPr>
            <w:tcW w:w="38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0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r>
      <w:tr>
        <w:trPr>
          <w:trHeight w:val="155"/>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7"/>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0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906 of the Sarbanes-Oxley Act of 2002</w:t>
            </w:r>
          </w:p>
        </w:tc>
        <w:tc>
          <w:tcPr>
            <w:tcW w:w="1480" w:type="dxa"/>
            <w:vAlign w:val="bottom"/>
            <w:tcBorders>
              <w:top w:val="single" w:sz="8" w:color="0000FF"/>
            </w:tcBorders>
            <w:gridSpan w:val="3"/>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0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w:t>
            </w:r>
          </w:p>
        </w:tc>
      </w:tr>
      <w:tr>
        <w:trPr>
          <w:trHeight w:val="155"/>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5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9/18/2020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001-39510</w:t>
            </w:r>
          </w:p>
        </w:tc>
      </w:t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001-39510</w:t>
            </w:r>
          </w:p>
        </w:tc>
      </w:tr>
      <w:tr>
        <w:trPr>
          <w:trHeight w:val="59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5/23/2025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ectPr>
          <w:pgSz w:w="11900" w:h="16838" w:orient="portrait"/>
          <w:cols w:equalWidth="0" w:num="3">
            <w:col w:w="5761" w:space="340"/>
            <w:col w:w="3760" w:space="700"/>
            <w:col w:w="460"/>
          </w:cols>
          <w:pgMar w:left="359" w:top="1440" w:right="519" w:bottom="1440" w:gutter="0" w:footer="0" w:header="0"/>
          <w:type w:val="continuous"/>
        </w:sectPr>
      </w:pPr>
    </w:p>
    <w:p>
      <w:pPr>
        <w:ind w:left="1181" w:right="4060" w:hanging="1181"/>
        <w:spacing w:after="0" w:line="214" w:lineRule="auto"/>
        <w:tabs>
          <w:tab w:leader="none" w:pos="11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June 30, 2025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(vi) Notes to Condensed Consolidated Financial Statements; and (vii) Part II, Item 5(c).</w:t>
      </w:r>
    </w:p>
    <w:p>
      <w:pPr>
        <w:spacing w:after="0" w:line="4" w:lineRule="exact"/>
        <w:rPr>
          <w:sz w:val="20"/>
          <w:szCs w:val="20"/>
          <w:color w:val="auto"/>
        </w:rPr>
      </w:pPr>
    </w:p>
    <w:p>
      <w:pPr>
        <w:ind w:left="1181" w:right="4300" w:hanging="1181"/>
        <w:spacing w:after="0" w:line="234" w:lineRule="auto"/>
        <w:tabs>
          <w:tab w:leader="none" w:pos="11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 w:lineRule="exact"/>
        <w:rPr>
          <w:sz w:val="20"/>
          <w:szCs w:val="20"/>
          <w:color w:val="auto"/>
        </w:rPr>
      </w:pPr>
    </w:p>
    <w:p>
      <w:pPr>
        <w:ind w:left="1181" w:hanging="1181"/>
        <w:spacing w:after="0"/>
        <w:tabs>
          <w:tab w:leader="none" w:pos="11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in this exhibit has been omitted.</w:t>
      </w:r>
    </w:p>
    <w:p>
      <w:pPr>
        <w:spacing w:after="0" w:line="27" w:lineRule="exact"/>
        <w:rPr>
          <w:sz w:val="20"/>
          <w:szCs w:val="20"/>
          <w:color w:val="auto"/>
        </w:rPr>
      </w:pPr>
    </w:p>
    <w:p>
      <w:pPr>
        <w:ind w:left="1181" w:hanging="1181"/>
        <w:spacing w:after="0"/>
        <w:tabs>
          <w:tab w:leader="none" w:pos="11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63" w:lineRule="exact"/>
        <w:rPr>
          <w:sz w:val="20"/>
          <w:szCs w:val="20"/>
          <w:color w:val="auto"/>
        </w:rPr>
      </w:pPr>
    </w:p>
    <w:p>
      <w:pPr>
        <w:sectPr>
          <w:pgSz w:w="11900" w:h="16838" w:orient="portrait"/>
          <w:cols w:equalWidth="0" w:num="2">
            <w:col w:w="9841" w:space="720"/>
            <w:col w:w="460"/>
          </w:cols>
          <w:pgMar w:left="359"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207010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type w:val="continuous"/>
        </w:sectPr>
      </w:pPr>
    </w:p>
    <w:bookmarkStart w:id="85" w:name="page86"/>
    <w:bookmarkEnd w:id="85"/>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August 7, 2025</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0940"/>
          </w:cols>
          <w:pgMar w:left="320" w:top="1440" w:right="6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87" w:name="page88"/>
    <w:bookmarkEnd w:id="87"/>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August 7, 2025</w:t>
            </w:r>
          </w:p>
        </w:tc>
        <w:tc>
          <w:tcPr>
            <w:tcW w:w="7800" w:type="dxa"/>
            <w:vAlign w:val="bottom"/>
            <w:gridSpan w:val="2"/>
          </w:tcPr>
          <w:p>
            <w:pPr>
              <w:ind w:left="174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4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88" w:name="page89"/>
    <w:bookmarkEnd w:id="88"/>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Y. Park, certify that:</w:t>
      </w:r>
    </w:p>
    <w:p>
      <w:pPr>
        <w:spacing w:after="0" w:line="229"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89" w:name="page90"/>
    <w:bookmarkEnd w:id="89"/>
    <w:p>
      <w:pPr>
        <w:spacing w:after="0" w:line="351" w:lineRule="exact"/>
        <w:rPr>
          <w:sz w:val="20"/>
          <w:szCs w:val="20"/>
          <w:color w:val="auto"/>
        </w:rPr>
      </w:pPr>
    </w:p>
    <w:p>
      <w:pPr>
        <w:ind w:left="640" w:right="60" w:hanging="328"/>
        <w:spacing w:after="0" w:line="261" w:lineRule="auto"/>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August 7, 2025</w:t>
            </w:r>
          </w:p>
        </w:tc>
        <w:tc>
          <w:tcPr>
            <w:tcW w:w="7800" w:type="dxa"/>
            <w:vAlign w:val="bottom"/>
            <w:gridSpan w:val="2"/>
          </w:tcPr>
          <w:p>
            <w:pPr>
              <w:ind w:left="1740"/>
              <w:spacing w:after="0"/>
              <w:rPr>
                <w:sz w:val="20"/>
                <w:szCs w:val="20"/>
                <w:color w:val="auto"/>
              </w:rPr>
            </w:pPr>
            <w:r>
              <w:rPr>
                <w:rFonts w:ascii="Times New Roman" w:cs="Times New Roman" w:eastAsia="Times New Roman" w:hAnsi="Times New Roman"/>
                <w:sz w:val="20"/>
                <w:szCs w:val="20"/>
                <w:color w:val="auto"/>
              </w:rPr>
              <w:t>By: /s/ David Y. Park</w:t>
            </w:r>
          </w:p>
        </w:tc>
      </w:tr>
      <w:tr>
        <w:trPr>
          <w:trHeight w:val="244"/>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David Y. Park</w:t>
            </w:r>
          </w:p>
        </w:tc>
      </w:tr>
      <w:tr>
        <w:trPr>
          <w:trHeight w:val="25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4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June 30, 2025,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August 7,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June 30, 2025,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August 7,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endash "/>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3"/>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lowerRoman"/>
      <w:start w:val="1"/>
    </w:lvl>
  </w:abstractNum>
  <w:abstractNum w:abstractNumId="20">
    <w:nsid w:val="5C482A97"/>
    <w:multiLevelType w:val="hybridMultilevel"/>
    <w:lvl w:ilvl="0">
      <w:lvlJc w:val="left"/>
      <w:lvlText w:val="(%1)"/>
      <w:numFmt w:val="decimal"/>
      <w:start w:val="1"/>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3"/>
    </w:lvl>
  </w:abstractNum>
  <w:abstractNum w:abstractNumId="26">
    <w:nsid w:val="153EA438"/>
    <w:multiLevelType w:val="hybridMultilevel"/>
    <w:lvl w:ilvl="0">
      <w:lvlJc w:val="left"/>
      <w:lvlText w:val="(%1)"/>
      <w:numFmt w:val="lowerLetter"/>
      <w:start w:val="5"/>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4"/>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lvl w:ilvl="1">
      <w:lvlJc w:val="left"/>
      <w:lvlText w:val="%2."/>
      <w:numFmt w:val="lowerRoman"/>
      <w:start w:val="1"/>
    </w:lvl>
  </w:abstractNum>
  <w:abstractNum w:abstractNumId="36">
    <w:nsid w:val="4B588F54"/>
    <w:multiLevelType w:val="hybridMultilevel"/>
    <w:lvl w:ilvl="0">
      <w:lvlJc w:val="left"/>
      <w:lvlText w:val="%1."/>
      <w:numFmt w:val="lowerRoman"/>
      <w:start w:val="4"/>
    </w:lvl>
  </w:abstractNum>
  <w:abstractNum w:abstractNumId="37">
    <w:nsid w:val="542289EC"/>
    <w:multiLevelType w:val="hybridMultilevel"/>
    <w:lvl w:ilvl="0">
      <w:lvlJc w:val="left"/>
      <w:lvlText w:val="(%1)"/>
      <w:numFmt w:val="decimal"/>
      <w:start w:val="4"/>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lowerRoman"/>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01"/>
    </w:lvl>
  </w:abstractNum>
  <w:abstractNum w:abstractNumId="46">
    <w:nsid w:val="1BA026FA"/>
    <w:multiLevelType w:val="hybridMultilevel"/>
    <w:lvl w:ilvl="0">
      <w:lvlJc w:val="left"/>
      <w:lvlText w:val="%1"/>
      <w:numFmt w:val="decimal"/>
      <w:start w:val="104"/>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5"/>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5"/>
    </w:lvl>
    <w:lvl w:ilvl="1">
      <w:lvlJc w:val="left"/>
      <w:lvlText w:val="%2."/>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0" Type="http://schemas.openxmlformats.org/officeDocument/2006/relationships/hyperlink" Target="https://www.sec.gov/Archives/edgar/data/1796022/000119312520248881/d23934dex31.htm" TargetMode="External"/><Relationship Id="rId101" Type="http://schemas.openxmlformats.org/officeDocument/2006/relationships/hyperlink" Target="https://www.sec.gov/Archives/edgar/data/1796022/000179602223000011/exhibit32q3fy2023.htm" TargetMode="External"/><Relationship Id="rId102" Type="http://schemas.openxmlformats.org/officeDocument/2006/relationships/hyperlink" Target="https://www.sec.gov/Archives/edgar/data/1796022/000179602225000041/exhibit1021-cicseverance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2025-08-07T15:27:26Z</dcterms:created>
  <dcterms:modified xsi:type="dcterms:W3CDTF">2025-08-07T15:27:26Z</dcterms:modified>
</cp:coreProperties>
</file>