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7" w:lineRule="exact"/>
        <w:rPr>
          <w:sz w:val="24"/>
          <w:szCs w:val="24"/>
          <w:color w:val="auto"/>
        </w:rPr>
      </w:pPr>
    </w:p>
    <w:p>
      <w:pPr>
        <w:ind w:left="420" w:hanging="311"/>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March 31, 2025</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36" w:lineRule="exact"/>
        <w:rPr>
          <w:sz w:val="24"/>
          <w:szCs w:val="24"/>
          <w:color w:val="auto"/>
        </w:rPr>
      </w:pPr>
    </w:p>
    <w:p>
      <w:pPr>
        <w:ind w:left="2520" w:right="2500" w:hanging="2411"/>
        <w:spacing w:after="0" w:line="388" w:lineRule="auto"/>
        <w:tabs>
          <w:tab w:leader="none" w:pos="38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_______________________ to 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001-39510</w:t>
      </w:r>
    </w:p>
    <w:p>
      <w:pPr>
        <w:spacing w:after="0" w:line="53" w:lineRule="exact"/>
        <w:rPr>
          <w:sz w:val="24"/>
          <w:szCs w:val="24"/>
          <w:color w:val="auto"/>
        </w:rPr>
      </w:pPr>
    </w:p>
    <w:tbl>
      <w:tblPr>
        <w:tblLayout w:type="fixed"/>
        <w:tblInd w:w="1440" w:type="dxa"/>
        <w:tblCellMar>
          <w:top w:w="0" w:type="dxa"/>
          <w:left w:w="0" w:type="dxa"/>
          <w:bottom w:w="0" w:type="dxa"/>
          <w:right w:w="0" w:type="dxa"/>
        </w:tblCellMar>
      </w:tblPr>
      <w:tr>
        <w:trPr>
          <w:trHeight w:val="429"/>
        </w:trPr>
        <w:tc>
          <w:tcPr>
            <w:tcW w:w="100" w:type="dxa"/>
            <w:vAlign w:val="bottom"/>
          </w:tcPr>
          <w:p>
            <w:pPr>
              <w:spacing w:after="0"/>
              <w:rPr>
                <w:sz w:val="24"/>
                <w:szCs w:val="24"/>
                <w:color w:val="auto"/>
              </w:rPr>
            </w:pPr>
          </w:p>
        </w:tc>
        <w:tc>
          <w:tcPr>
            <w:tcW w:w="8200" w:type="dxa"/>
            <w:vAlign w:val="bottom"/>
            <w:gridSpan w:val="5"/>
          </w:tcPr>
          <w:p>
            <w:pPr>
              <w:jc w:val="center"/>
              <w:ind w:left="220"/>
              <w:spacing w:after="0"/>
              <w:rPr>
                <w:sz w:val="20"/>
                <w:szCs w:val="20"/>
                <w:color w:val="auto"/>
              </w:rPr>
            </w:pPr>
            <w:r>
              <w:rPr>
                <w:rFonts w:ascii="Times New Roman" w:cs="Times New Roman" w:eastAsia="Times New Roman" w:hAnsi="Times New Roman"/>
                <w:sz w:val="32"/>
                <w:szCs w:val="32"/>
                <w:b w:val="1"/>
                <w:bCs w:val="1"/>
                <w:color w:val="auto"/>
              </w:rPr>
              <w:t>STEPSTONE GROUP INC.</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16"/>
        </w:trPr>
        <w:tc>
          <w:tcPr>
            <w:tcW w:w="100" w:type="dxa"/>
            <w:vAlign w:val="bottom"/>
          </w:tcPr>
          <w:p>
            <w:pPr>
              <w:spacing w:after="0"/>
              <w:rPr>
                <w:sz w:val="18"/>
                <w:szCs w:val="18"/>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84-3868757</w:t>
            </w:r>
          </w:p>
        </w:tc>
      </w:tr>
      <w:tr>
        <w:trPr>
          <w:trHeight w:val="163"/>
        </w:trPr>
        <w:tc>
          <w:tcPr>
            <w:tcW w:w="100" w:type="dxa"/>
            <w:vAlign w:val="bottom"/>
          </w:tcPr>
          <w:p>
            <w:pPr>
              <w:spacing w:after="0"/>
              <w:rPr>
                <w:sz w:val="14"/>
                <w:szCs w:val="14"/>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00" w:type="dxa"/>
            <w:vAlign w:val="bottom"/>
          </w:tcPr>
          <w:p>
            <w:pPr>
              <w:spacing w:after="0"/>
              <w:rPr>
                <w:sz w:val="16"/>
                <w:szCs w:val="16"/>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0"/>
        </w:trPr>
        <w:tc>
          <w:tcPr>
            <w:tcW w:w="100" w:type="dxa"/>
            <w:vAlign w:val="bottom"/>
          </w:tcPr>
          <w:p>
            <w:pPr>
              <w:spacing w:after="0"/>
              <w:rPr>
                <w:sz w:val="24"/>
                <w:szCs w:val="24"/>
                <w:color w:val="auto"/>
              </w:rPr>
            </w:pPr>
          </w:p>
        </w:tc>
        <w:tc>
          <w:tcPr>
            <w:tcW w:w="3340" w:type="dxa"/>
            <w:vAlign w:val="bottom"/>
            <w:gridSpan w:val="2"/>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277 Park Avenue, 45</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0"/>
        </w:trPr>
        <w:tc>
          <w:tcPr>
            <w:tcW w:w="100" w:type="dxa"/>
            <w:vAlign w:val="bottom"/>
          </w:tcPr>
          <w:p>
            <w:pPr>
              <w:spacing w:after="0"/>
              <w:rPr>
                <w:sz w:val="16"/>
                <w:szCs w:val="16"/>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10172</w:t>
            </w:r>
          </w:p>
        </w:tc>
      </w:tr>
      <w:tr>
        <w:trPr>
          <w:trHeight w:val="203"/>
        </w:trPr>
        <w:tc>
          <w:tcPr>
            <w:tcW w:w="344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1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(212) 351-6100</w:t>
            </w:r>
          </w:p>
        </w:tc>
        <w:tc>
          <w:tcPr>
            <w:tcW w:w="100" w:type="dxa"/>
            <w:vAlign w:val="bottom"/>
          </w:tcPr>
          <w:p>
            <w:pPr>
              <w:spacing w:after="0"/>
              <w:rPr>
                <w:sz w:val="23"/>
                <w:szCs w:val="23"/>
                <w:color w:val="auto"/>
              </w:rPr>
            </w:pPr>
          </w:p>
        </w:tc>
        <w:tc>
          <w:tcPr>
            <w:tcW w:w="3460" w:type="dxa"/>
            <w:vAlign w:val="bottom"/>
          </w:tcPr>
          <w:p>
            <w:pPr>
              <w:spacing w:after="0"/>
              <w:rPr>
                <w:sz w:val="23"/>
                <w:szCs w:val="23"/>
                <w:color w:val="auto"/>
              </w:rPr>
            </w:pPr>
          </w:p>
        </w:tc>
      </w:tr>
      <w:tr>
        <w:trPr>
          <w:trHeight w:val="188"/>
        </w:trPr>
        <w:tc>
          <w:tcPr>
            <w:tcW w:w="100" w:type="dxa"/>
            <w:vAlign w:val="bottom"/>
          </w:tcPr>
          <w:p>
            <w:pPr>
              <w:spacing w:after="0"/>
              <w:rPr>
                <w:sz w:val="16"/>
                <w:szCs w:val="16"/>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203"/>
        </w:trPr>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Title of each class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84"/>
        </w:trPr>
        <w:tc>
          <w:tcPr>
            <w:tcW w:w="10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11" w:lineRule="exact"/>
        <w:rPr>
          <w:sz w:val="24"/>
          <w:szCs w:val="24"/>
          <w:color w:val="auto"/>
        </w:rPr>
      </w:pPr>
    </w:p>
    <w:p>
      <w:pPr>
        <w:ind w:right="260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2"/>
        </w:trPr>
        <w:tc>
          <w:tcPr>
            <w:tcW w:w="1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1140" w:type="dxa"/>
            <w:vAlign w:val="bottom"/>
            <w:vMerge w:val="continue"/>
          </w:tcPr>
          <w:p>
            <w:pPr>
              <w:spacing w:after="0"/>
              <w:rPr>
                <w:sz w:val="7"/>
                <w:szCs w:val="7"/>
                <w:color w:val="auto"/>
              </w:rPr>
            </w:pPr>
          </w:p>
        </w:tc>
        <w:tc>
          <w:tcPr>
            <w:tcW w:w="3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aggregate market value of Class A common stock held by non-affiliates of the registrant on September 30, 2024, the last business day of the registrant’s most recently completed second fiscal quarter, was approximately $3,805.2 million, based on the closing price of $56.83 as reported by the Nasdaq Stock Market. As of May 21, 2025, there were 76,761,399 shares of the registrant’s Class A common stock and 39,656,954 shares of the registrant’s Class B common stock, issued and outstanding.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0"/>
          <w:szCs w:val="20"/>
          <w:color w:val="auto"/>
        </w:rPr>
      </w:pPr>
    </w:p>
    <w:p>
      <w:pPr>
        <w:jc w:val="both"/>
        <w:ind w:right="420" w:firstLine="648"/>
        <w:spacing w:after="0" w:line="263"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2025 annual meeting of stockholders (the “2025 Proxy Statement”) are incorporated by reference into Part III of this annual report on Form 10-K where indicated. The 2025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60" w:type="dxa"/>
            <w:vAlign w:val="bottom"/>
            <w:gridSpan w:val="17"/>
          </w:tcPr>
          <w:p>
            <w:pPr>
              <w:ind w:left="4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40" w:type="dxa"/>
            <w:vAlign w:val="bottom"/>
            <w:gridSpan w:val="13"/>
            <w:shd w:val="clear" w:color="auto" w:fill="CCEEFF"/>
          </w:tcPr>
          <w:p>
            <w:pPr>
              <w:jc w:val="center"/>
              <w:ind w:right="4180"/>
              <w:spacing w:after="0" w:line="169"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4320" w:type="dxa"/>
            <w:vAlign w:val="bottom"/>
            <w:tcBorders>
              <w:top w:val="single" w:sz="8" w:color="CCEEFF"/>
            </w:tcBorders>
            <w:gridSpan w:val="20"/>
          </w:tcPr>
          <w:p>
            <w:pPr>
              <w:ind w:left="14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2"/>
          </w:tcPr>
          <w:p>
            <w:pPr>
              <w:spacing w:after="0"/>
              <w:rPr>
                <w:sz w:val="16"/>
                <w:szCs w:val="16"/>
                <w:color w:val="auto"/>
              </w:rPr>
            </w:pPr>
          </w:p>
        </w:tc>
        <w:tc>
          <w:tcPr>
            <w:tcW w:w="4220" w:type="dxa"/>
            <w:vAlign w:val="bottom"/>
            <w:tcBorders>
              <w:top w:val="single" w:sz="8" w:color="CCEEFF"/>
            </w:tcBorders>
            <w:gridSpan w:val="10"/>
          </w:tcPr>
          <w:p>
            <w:pPr>
              <w:spacing w:after="0"/>
              <w:rPr>
                <w:sz w:val="16"/>
                <w:szCs w:val="16"/>
                <w:color w:val="auto"/>
              </w:rPr>
            </w:pPr>
          </w:p>
        </w:tc>
        <w:tc>
          <w:tcPr>
            <w:tcW w:w="620" w:type="dxa"/>
            <w:vAlign w:val="bottom"/>
            <w:tcBorders>
              <w:top w:val="single" w:sz="8" w:color="CCEEFF"/>
            </w:tcBorders>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4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14"/>
          </w:tcPr>
          <w:p>
            <w:pPr>
              <w:jc w:val="center"/>
              <w:ind w:right="4160"/>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75</w:t>
            </w:r>
          </w:p>
        </w:tc>
        <w:tc>
          <w:tcPr>
            <w:tcW w:w="4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128</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188</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189</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190</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4140" w:type="dxa"/>
            <w:vAlign w:val="bottom"/>
            <w:tcBorders>
              <w:bottom w:val="single" w:sz="8" w:color="CCEEFF"/>
            </w:tcBorders>
            <w:gridSpan w:val="7"/>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14"/>
          </w:tcPr>
          <w:p>
            <w:pPr>
              <w:jc w:val="center"/>
              <w:ind w:right="4160"/>
              <w:spacing w:after="0" w:line="189" w:lineRule="exact"/>
              <w:rPr>
                <w:sz w:val="20"/>
                <w:szCs w:val="20"/>
                <w:color w:val="auto"/>
              </w:rPr>
            </w:pPr>
            <w:r>
              <w:rPr>
                <w:rFonts w:ascii="Times New Roman" w:cs="Times New Roman" w:eastAsia="Times New Roman" w:hAnsi="Times New Roman"/>
                <w:sz w:val="18"/>
                <w:szCs w:val="18"/>
                <w:b w:val="1"/>
                <w:bCs w:val="1"/>
                <w:color w:val="0000FF"/>
                <w:w w:val="95"/>
              </w:rPr>
              <w:t>PART IV</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This annual report on Form 10-K (“Form 10-K”)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indicated or the context otherwise requires:</w:t>
      </w:r>
    </w:p>
    <w:p>
      <w:pPr>
        <w:spacing w:after="0" w:line="225" w:lineRule="exact"/>
        <w:rPr>
          <w:sz w:val="20"/>
          <w:szCs w:val="20"/>
          <w:color w:val="auto"/>
        </w:rPr>
      </w:pPr>
    </w:p>
    <w:p>
      <w:pPr>
        <w:ind w:left="820" w:right="1040" w:hanging="164"/>
        <w:spacing w:after="0" w:line="287"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Group Inc.</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SSG</w:t>
      </w:r>
      <w:r>
        <w:rPr>
          <w:rFonts w:ascii="Times New Roman" w:cs="Times New Roman" w:eastAsia="Times New Roman" w:hAnsi="Times New Roman"/>
          <w:sz w:val="20"/>
          <w:szCs w:val="20"/>
          <w:color w:val="auto"/>
        </w:rPr>
        <w:t>” refers solely to StepStone Group Inc., a Delaware corporation, and not to any of its subsidiaries;</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 refers solely to StepStone Group LP, a Delaware limited partnership, and not to any of its subsidiaries;</w:t>
      </w:r>
    </w:p>
    <w:p>
      <w:pPr>
        <w:spacing w:after="0" w:line="229" w:lineRule="exact"/>
        <w:rPr>
          <w:rFonts w:ascii="Times New Roman" w:cs="Times New Roman" w:eastAsia="Times New Roman" w:hAnsi="Times New Roman"/>
          <w:sz w:val="20"/>
          <w:szCs w:val="20"/>
          <w:color w:val="auto"/>
        </w:rPr>
      </w:pPr>
    </w:p>
    <w:p>
      <w:pPr>
        <w:ind w:left="820" w:right="60" w:hanging="164"/>
        <w:spacing w:after="0" w:line="273"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Partner</w:t>
      </w:r>
      <w:r>
        <w:rPr>
          <w:rFonts w:ascii="Times New Roman" w:cs="Times New Roman" w:eastAsia="Times New Roman" w:hAnsi="Times New Roman"/>
          <w:sz w:val="20"/>
          <w:szCs w:val="20"/>
          <w:color w:val="auto"/>
        </w:rPr>
        <w:t>” refers to StepStone Group Holdings LLC, a Delaware limited liability company, and the sole general partner of the Partnership;</w:t>
      </w:r>
    </w:p>
    <w:p>
      <w:pPr>
        <w:spacing w:after="0" w:line="165" w:lineRule="exact"/>
        <w:rPr>
          <w:rFonts w:ascii="Times New Roman" w:cs="Times New Roman" w:eastAsia="Times New Roman" w:hAnsi="Times New Roman"/>
          <w:sz w:val="20"/>
          <w:szCs w:val="20"/>
          <w:color w:val="auto"/>
        </w:rPr>
      </w:pPr>
    </w:p>
    <w:p>
      <w:pPr>
        <w:ind w:left="820" w:hanging="164"/>
        <w:spacing w:after="0" w:line="287"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 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StepStone</w:t>
      </w:r>
      <w:r>
        <w:rPr>
          <w:rFonts w:ascii="Times New Roman" w:cs="Times New Roman" w:eastAsia="Times New Roman" w:hAnsi="Times New Roman"/>
          <w:sz w:val="20"/>
          <w:szCs w:val="20"/>
          <w:color w:val="auto"/>
        </w:rPr>
        <w:t>” and similar terms refer to SSG and its consolidated subsidiaries, including the Partnership;</w:t>
      </w:r>
    </w:p>
    <w:p>
      <w:pPr>
        <w:spacing w:after="0" w:line="138" w:lineRule="exact"/>
        <w:rPr>
          <w:rFonts w:ascii="Times New Roman" w:cs="Times New Roman" w:eastAsia="Times New Roman" w:hAnsi="Times New Roman"/>
          <w:sz w:val="20"/>
          <w:szCs w:val="20"/>
          <w:color w:val="auto"/>
        </w:rPr>
      </w:pPr>
    </w:p>
    <w:p>
      <w:pPr>
        <w:ind w:left="820" w:right="100" w:hanging="164"/>
        <w:spacing w:after="0" w:line="287"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Funds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our funds</w:t>
      </w:r>
      <w:r>
        <w:rPr>
          <w:rFonts w:ascii="Times New Roman" w:cs="Times New Roman" w:eastAsia="Times New Roman" w:hAnsi="Times New Roman"/>
          <w:sz w:val="20"/>
          <w:szCs w:val="20"/>
          <w:color w:val="auto"/>
        </w:rPr>
        <w:t>” refer to our focused commingled funds and our separately managed accounts for which we act as both investment adviser and general partner or managing member;</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Greenspring acquisition</w:t>
      </w:r>
      <w:r>
        <w:rPr>
          <w:rFonts w:ascii="Times New Roman" w:cs="Times New Roman" w:eastAsia="Times New Roman" w:hAnsi="Times New Roman"/>
          <w:sz w:val="20"/>
          <w:szCs w:val="20"/>
          <w:color w:val="auto"/>
        </w:rPr>
        <w:t>” refer to the acquisition of Greenspring Associates, Inc. and certain of its affiliates</w:t>
      </w:r>
    </w:p>
    <w:p>
      <w:pPr>
        <w:spacing w:after="0" w:line="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Greenspring</w:t>
      </w:r>
      <w:r>
        <w:rPr>
          <w:rFonts w:ascii="Times New Roman" w:cs="Times New Roman" w:eastAsia="Times New Roman" w:hAnsi="Times New Roman"/>
          <w:sz w:val="20"/>
          <w:szCs w:val="20"/>
          <w:color w:val="auto"/>
        </w:rPr>
        <w:t>”) that was completed on September 20, 2021;</w:t>
      </w:r>
    </w:p>
    <w:p>
      <w:pPr>
        <w:spacing w:after="0" w:line="210" w:lineRule="exact"/>
        <w:rPr>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FY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fiscal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are to the fiscal year ended March 31 of the applicable year;</w:t>
      </w:r>
    </w:p>
    <w:p>
      <w:pPr>
        <w:spacing w:after="0" w:line="215" w:lineRule="exact"/>
        <w:rPr>
          <w:rFonts w:ascii="Times New Roman" w:cs="Times New Roman" w:eastAsia="Times New Roman" w:hAnsi="Times New Roman"/>
          <w:sz w:val="20"/>
          <w:szCs w:val="20"/>
          <w:color w:val="auto"/>
        </w:rPr>
      </w:pPr>
    </w:p>
    <w:p>
      <w:pPr>
        <w:ind w:left="820" w:right="44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Reorganization</w:t>
      </w:r>
      <w:r>
        <w:rPr>
          <w:rFonts w:ascii="Times New Roman" w:cs="Times New Roman" w:eastAsia="Times New Roman" w:hAnsi="Times New Roman"/>
          <w:sz w:val="20"/>
          <w:szCs w:val="20"/>
          <w:color w:val="auto"/>
        </w:rPr>
        <w:t>” refer to the series of transactions immediately before the Company’s initial public offering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which was completed on September 18, 2020;</w:t>
      </w:r>
    </w:p>
    <w:p>
      <w:pPr>
        <w:spacing w:after="0" w:line="138" w:lineRule="exact"/>
        <w:rPr>
          <w:rFonts w:ascii="Times New Roman" w:cs="Times New Roman" w:eastAsia="Times New Roman" w:hAnsi="Times New Roman"/>
          <w:sz w:val="20"/>
          <w:szCs w:val="20"/>
          <w:color w:val="auto"/>
        </w:rPr>
      </w:pPr>
    </w:p>
    <w:p>
      <w:pPr>
        <w:ind w:left="820" w:right="38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private markets allocations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total capital responsibility</w:t>
      </w:r>
      <w:r>
        <w:rPr>
          <w:rFonts w:ascii="Times New Roman" w:cs="Times New Roman" w:eastAsia="Times New Roman" w:hAnsi="Times New Roman"/>
          <w:sz w:val="20"/>
          <w:szCs w:val="20"/>
          <w:color w:val="auto"/>
        </w:rPr>
        <w:t xml:space="preserve">” refer to the aggregate amount of our assets under management </w:t>
      </w:r>
      <w:r>
        <w:rPr>
          <w:rFonts w:ascii="Times New Roman" w:cs="Times New Roman" w:eastAsia="Times New Roman" w:hAnsi="Times New Roman"/>
          <w:sz w:val="20"/>
          <w:szCs w:val="20"/>
          <w:b w:val="1"/>
          <w:bCs w:val="1"/>
          <w:color w:val="auto"/>
        </w:rPr>
        <w:t>(“AUM”)</w:t>
      </w:r>
      <w:r>
        <w:rPr>
          <w:rFonts w:ascii="Times New Roman" w:cs="Times New Roman" w:eastAsia="Times New Roman" w:hAnsi="Times New Roman"/>
          <w:sz w:val="20"/>
          <w:szCs w:val="20"/>
          <w:color w:val="auto"/>
        </w:rPr>
        <w:t xml:space="preserve"> and our assets under advisement </w:t>
      </w:r>
      <w:r>
        <w:rPr>
          <w:rFonts w:ascii="Times New Roman" w:cs="Times New Roman" w:eastAsia="Times New Roman" w:hAnsi="Times New Roman"/>
          <w:sz w:val="20"/>
          <w:szCs w:val="20"/>
          <w:b w:val="1"/>
          <w:bCs w:val="1"/>
          <w:color w:val="auto"/>
        </w:rPr>
        <w:t>(“AUA”)</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high-net-worth</w:t>
      </w:r>
      <w:r>
        <w:rPr>
          <w:rFonts w:ascii="Times New Roman" w:cs="Times New Roman" w:eastAsia="Times New Roman" w:hAnsi="Times New Roman"/>
          <w:sz w:val="20"/>
          <w:szCs w:val="20"/>
          <w:color w:val="auto"/>
        </w:rPr>
        <w:t>” individuals refer to individuals with net worth of over $5 million, excluding primary residence;</w:t>
      </w:r>
    </w:p>
    <w:p>
      <w:pPr>
        <w:spacing w:after="0" w:line="215" w:lineRule="exact"/>
        <w:rPr>
          <w:rFonts w:ascii="Times New Roman" w:cs="Times New Roman" w:eastAsia="Times New Roman" w:hAnsi="Times New Roman"/>
          <w:sz w:val="20"/>
          <w:szCs w:val="20"/>
          <w:color w:val="auto"/>
        </w:rPr>
      </w:pPr>
    </w:p>
    <w:p>
      <w:pPr>
        <w:ind w:left="820" w:right="22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mass affluent</w:t>
      </w:r>
      <w:r>
        <w:rPr>
          <w:rFonts w:ascii="Times New Roman" w:cs="Times New Roman" w:eastAsia="Times New Roman" w:hAnsi="Times New Roman"/>
          <w:sz w:val="20"/>
          <w:szCs w:val="20"/>
          <w:color w:val="auto"/>
        </w:rPr>
        <w:t>” individuals refer to individuals with annual income over $200,000 or net worth between $1 million and $5 million, excluding primary residence;</w:t>
      </w:r>
    </w:p>
    <w:p>
      <w:pPr>
        <w:spacing w:after="0" w:line="138" w:lineRule="exact"/>
        <w:rPr>
          <w:rFonts w:ascii="Times New Roman" w:cs="Times New Roman" w:eastAsia="Times New Roman" w:hAnsi="Times New Roman"/>
          <w:sz w:val="20"/>
          <w:szCs w:val="20"/>
          <w:color w:val="auto"/>
        </w:rPr>
      </w:pPr>
    </w:p>
    <w:p>
      <w:pPr>
        <w:ind w:left="820" w:right="10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Consolidated Funds</w:t>
      </w:r>
      <w:r>
        <w:rPr>
          <w:rFonts w:ascii="Times New Roman" w:cs="Times New Roman" w:eastAsia="Times New Roman" w:hAnsi="Times New Roman"/>
          <w:sz w:val="20"/>
          <w:szCs w:val="20"/>
          <w:color w:val="auto"/>
        </w:rPr>
        <w:t>” refer to the StepStone Funds that we are required to consolidate as of the applicable reporting period; and</w:t>
      </w:r>
    </w:p>
    <w:p>
      <w:pPr>
        <w:spacing w:after="0" w:line="138" w:lineRule="exact"/>
        <w:rPr>
          <w:rFonts w:ascii="Times New Roman" w:cs="Times New Roman" w:eastAsia="Times New Roman" w:hAnsi="Times New Roman"/>
          <w:sz w:val="20"/>
          <w:szCs w:val="20"/>
          <w:color w:val="auto"/>
        </w:rPr>
      </w:pPr>
    </w:p>
    <w:p>
      <w:pPr>
        <w:ind w:left="820" w:right="40" w:hanging="164"/>
        <w:spacing w:after="0" w:line="270"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SRA</w:t>
      </w:r>
      <w:r>
        <w:rPr>
          <w:rFonts w:ascii="Times New Roman" w:cs="Times New Roman" w:eastAsia="Times New Roman" w:hAnsi="Times New Roman"/>
          <w:sz w:val="20"/>
          <w:szCs w:val="20"/>
          <w:color w:val="auto"/>
        </w:rPr>
        <w:t>” refer to StepStone Group Real Assets LP, references to “</w:t>
      </w:r>
      <w:r>
        <w:rPr>
          <w:rFonts w:ascii="Times New Roman" w:cs="Times New Roman" w:eastAsia="Times New Roman" w:hAnsi="Times New Roman"/>
          <w:sz w:val="20"/>
          <w:szCs w:val="20"/>
          <w:b w:val="1"/>
          <w:bCs w:val="1"/>
          <w:color w:val="auto"/>
        </w:rPr>
        <w:t>SRE</w:t>
      </w:r>
      <w:r>
        <w:rPr>
          <w:rFonts w:ascii="Times New Roman" w:cs="Times New Roman" w:eastAsia="Times New Roman" w:hAnsi="Times New Roman"/>
          <w:sz w:val="20"/>
          <w:szCs w:val="20"/>
          <w:color w:val="auto"/>
        </w:rPr>
        <w:t>” refer to StepStone Group Real Estate LP, references to “</w:t>
      </w:r>
      <w:r>
        <w:rPr>
          <w:rFonts w:ascii="Times New Roman" w:cs="Times New Roman" w:eastAsia="Times New Roman" w:hAnsi="Times New Roman"/>
          <w:sz w:val="20"/>
          <w:szCs w:val="20"/>
          <w:b w:val="1"/>
          <w:bCs w:val="1"/>
          <w:color w:val="auto"/>
        </w:rPr>
        <w:t>SPD</w:t>
      </w:r>
      <w:r>
        <w:rPr>
          <w:rFonts w:ascii="Times New Roman" w:cs="Times New Roman" w:eastAsia="Times New Roman" w:hAnsi="Times New Roman"/>
          <w:sz w:val="20"/>
          <w:szCs w:val="20"/>
          <w:color w:val="auto"/>
        </w:rPr>
        <w:t>” refer to StepStone Group Private Debt AG, and references to “</w:t>
      </w:r>
      <w:r>
        <w:rPr>
          <w:rFonts w:ascii="Times New Roman" w:cs="Times New Roman" w:eastAsia="Times New Roman" w:hAnsi="Times New Roman"/>
          <w:sz w:val="20"/>
          <w:szCs w:val="20"/>
          <w:b w:val="1"/>
          <w:bCs w:val="1"/>
          <w:color w:val="auto"/>
        </w:rPr>
        <w:t>SPW</w:t>
      </w:r>
      <w:r>
        <w:rPr>
          <w:rFonts w:ascii="Times New Roman" w:cs="Times New Roman" w:eastAsia="Times New Roman" w:hAnsi="Times New Roman"/>
          <w:sz w:val="20"/>
          <w:szCs w:val="20"/>
          <w:color w:val="auto"/>
        </w:rPr>
        <w:t>” refer to StepStone Group Private Wealth LLC.</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TRADEMARKS, SERVICE MARKS AND TRADE NAMES</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 and ™ symbols, but we will assert, to the fullest extent under applicable law, our rights or the rights of the applicable licensors to these trademarks, service marks, trade names and copyrights.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0"/>
          <w:szCs w:val="20"/>
          <w:color w:val="auto"/>
        </w:rPr>
        <w:t>This Form 10-K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10-K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“Risk Factors” included in Part I, Item 1A of this Form 10-K. These factors should not be construed as exhaustive and should be read in conjunction with the other cautionary statements that are included in this Form 10-K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33"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20"/>
          <w:szCs w:val="20"/>
          <w:color w:val="auto"/>
        </w:rPr>
        <w:t>The following is a summary of the risk factors associated with the Company. You should read this summary together with a more detailed description of these risks in the “Risk Factors” section of this annual report on Form 10-K and in other filings that we make from time to time with the SEC.</w:t>
      </w:r>
    </w:p>
    <w:p>
      <w:pPr>
        <w:spacing w:after="0" w:line="168"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We are subject to risks related to our business, including risks related to: (i) the identification and availability of suitable investment opportunities for our clients; (ii) poor investment performance; (iii) investments we make on behalf of clients or we recommend to our clients not correlating with performance of an investment in our Class A common stock; (iv) competition for access to investment funds and other investments; (v) ability of third-party clients to remove us as the general partner and to terminate the investment period under certain circumstances; (vi) our ability to retain our senior leadership team and attract additional qualified investment professionals; (vii) our failure to appropriately manage conflicts of interest; (viii) obligations to clients and other third parties that may conflict with stockholders’ interests;</w:t>
      </w:r>
    </w:p>
    <w:p>
      <w:pPr>
        <w:spacing w:after="0" w:line="4" w:lineRule="exact"/>
        <w:rPr>
          <w:sz w:val="20"/>
          <w:szCs w:val="20"/>
          <w:color w:val="auto"/>
        </w:rPr>
      </w:pPr>
    </w:p>
    <w:p>
      <w:pPr>
        <w:ind w:right="60" w:firstLine="8"/>
        <w:spacing w:after="0" w:line="261" w:lineRule="auto"/>
        <w:tabs>
          <w:tab w:leader="none" w:pos="335"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increases in interest rates or decreases in the availability of credit may affect the StepStone Funds’ ability to achieve attractive rates of return due to dependence on leverage by certain funds and portfolio companies; (x) StepStone Funds clients with commitment-based structures not satisfying their contractual obligation to fund capital calls when requested; (xi) compliance with investment guidelines set by clients; (xii) subjective valuation methodologies; (xiii) our ability to maintain our desired fee structure; (xiv) having to pay back “clawback” or “contingent repayment” obligations if and when they are triggered under the governing agreements of our funds; (xv) investments in relatively high-risk, illiquid assets; (xvi) undiversified investments; (xvii) banking system volatility; (xviii) investments in funds and companies that we do not control; (xix) risk management strategies and procedures; (xx) due diligence we undertake in connection with investments; (xxi) restrictions on our ability to collect and analyze data regarding our clients’ investments; (xxii) dependence on the reliability of our proprietary data and technology platforms and other data processing systems; (xxiii) a compromise or corruption of our systems or that of our vendors containing confidential information; (xxiv) cybersecurity risks; (xxv) emerging and changing technology, including artificial intelligence; (xxvi) employee misconduct; (xxvii) our professional reputation and legal liability; (xxviii) our non-U.S. operations; (xxix) investments of the StepStone Funds in certain jurisdictions that may be subject to heightened risks relative to investments in other jurisdictions; (xxx) revenues from our real estate asset class being subject to the risks inherent in the ownership and operation of real estate and the construction and development of real estate; (xxxi) the exposure of our real estate asset class to commercial real estate values and commercial real estate loans; (xxxii) investments we make on behalf of clients or we recommend to our clients in infrastructure assets;</w:t>
      </w:r>
    </w:p>
    <w:p>
      <w:pPr>
        <w:ind w:left="660" w:hanging="652"/>
        <w:spacing w:after="0"/>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substantial growth of our business in recent years that may be difficult to sustain; (xxxiv) entering into new lines of business;</w:t>
      </w:r>
    </w:p>
    <w:p>
      <w:pPr>
        <w:spacing w:after="0" w:line="6" w:lineRule="exact"/>
        <w:rPr>
          <w:rFonts w:ascii="Times New Roman" w:cs="Times New Roman" w:eastAsia="Times New Roman" w:hAnsi="Times New Roman"/>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agreements that provide for us to acquire all the equity interests of our asset class entities that we do not currently own;</w:t>
      </w:r>
    </w:p>
    <w:p>
      <w:pPr>
        <w:spacing w:after="0" w:line="6" w:lineRule="exact"/>
        <w:rPr>
          <w:rFonts w:ascii="Times New Roman" w:cs="Times New Roman" w:eastAsia="Times New Roman" w:hAnsi="Times New Roman"/>
          <w:sz w:val="20"/>
          <w:szCs w:val="20"/>
          <w:color w:val="auto"/>
        </w:rPr>
      </w:pPr>
    </w:p>
    <w:p>
      <w:pPr>
        <w:ind w:right="20" w:firstLine="8"/>
        <w:spacing w:after="0" w:line="267" w:lineRule="auto"/>
        <w:tabs>
          <w:tab w:leader="none" w:pos="63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option agreement with respect to SPW; (xxxvii) acquisitions of new businesses or assets; (xxxviii) current or future indebtedness; and (xxxix) using custodians, counterparties, administrators and other agents.</w:t>
      </w:r>
    </w:p>
    <w:p>
      <w:pPr>
        <w:spacing w:after="0" w:line="16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are subject to risks related to our industry, including risks related to: (i) intense competition; (ii) difficult or volatile market conditions; (iii) a major public health crisis; (iv) operating in a heavily regulated industry; (v) evolving laws and government regulations; (vi) future changes to tax laws or our effective tax rate; (vii) potentially being required to pay additional taxes because of the new U.S. federal partnership audit rules and potentially also state and local tax rules; (viii) federal, state and foreign anti-corruption and sanctions laws; (ix) regulation of investment advisers outside the United States; and (x) divergent views of investors and differing approaches by governmental authorities in respect of the incorporation of sustainability-related factors in our investment and portfolio management process as well as human capital management.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9"/>
          <w:szCs w:val="19"/>
          <w:color w:val="auto"/>
        </w:rPr>
        <w:t>We are subject to risks related to our organizational structure, including risks related to: (i) relying on exemptions from certain governance requirements as a “controlled company” within the meaning of the Nasdaq Global Select Market listing standards and, therefore, not affording same protections to our stockholders as those afforded to stockholders of non-controlled companies; (ii) SSG’s dependence on distributions from the Partnership to pay any dividends, if declared, taxes and other expenses, including payments under the Tax Receivable Agreements; (iii) the IRS potentially challenging the tax basis step-ups and other tax benefits we receive in connection with our IPO and the related transactions and in connection with additional acquisitions of Partnership units; (iv) in certain circumstances, acceleration and/or significant excess of payments due under each Tax Receivable Agreement, as compared to the actual tax benefits, if any, that SSG actually realizes; (v) potentially substantial distributions to us and the existing partners of the Partnership that the Partnership will be required to make in certain circumstances; (vi) funding withholding tax upon certain exchanges of Class B or Class D units into shares of Class A common stock by non-U.S. holders; (vii) tax and other liabilities attributable to our pre-IPO investors as a result of certain reorganization transactions;</w:t>
      </w:r>
    </w:p>
    <w:p>
      <w:pPr>
        <w:spacing w:after="0" w:line="6" w:lineRule="exact"/>
        <w:rPr>
          <w:sz w:val="20"/>
          <w:szCs w:val="20"/>
          <w:color w:val="auto"/>
        </w:rPr>
      </w:pPr>
    </w:p>
    <w:p>
      <w:pPr>
        <w:ind w:right="20" w:firstLine="8"/>
        <w:spacing w:after="0" w:line="248" w:lineRule="auto"/>
        <w:tabs>
          <w:tab w:leader="none" w:pos="44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SSG not being permitted to deduct its distributive share of compensation expense pursuant to regulations issued under Section 162(m) of the Code to the extent that the compensation was paid by the Partnership to certain of SSG’s covered employees; (ix) being deemed an “investment company” under the Investment Company Act of 1940 as a result of our ownership of the Partnership or the General Partner; (x) a change of control of our company, including the effect of a “Sunset” on our voting structure; (xi) conflicts arising from members of our senior leadership team holding their economic interest through other entities; (xii) our reliance on our equity ownership, governance rights and other contractual arrangements to control certain of our consolidated subsidiaries that are not wholly owned; (xiii) the disparity in the voting rights among the classes of our common stock and inability of the holders of our Class A common stock to influence decisions submitted to a vote of our stockholders; (xiv) distributions made by the Partnership and limits on our ability to use the cash we receive in such distributions; (xv) the dual class structure of our common stock; and (xvi) our ability to pay dividends to stockholders.</w:t>
      </w:r>
    </w:p>
    <w:p>
      <w:pPr>
        <w:spacing w:after="0" w:line="195"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We are subject to general risks, including risks related to: (i) the fact that the market price of our Class A common stock has been volatile; (ii) anti-takeover provisions in our charter documents and under Delaware law; and (iii) our forum selection provisions.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Our Company</w:t>
      </w:r>
    </w:p>
    <w:p>
      <w:pPr>
        <w:spacing w:after="0" w:line="233"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0"/>
          <w:szCs w:val="20"/>
          <w:color w:val="231F20"/>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2025, we were responsible for approximately $709 billion of total capital, including $189 billion of AUM and $520 billion of AUA.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231F20"/>
        </w:rPr>
        <w:t>We were founded in 2007 to address the evolving needs of investors focused on private markets, reflecting a number of converging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themes:</w:t>
      </w:r>
    </w:p>
    <w:p>
      <w:pPr>
        <w:spacing w:after="0" w:line="200"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increasing investor desire for exposure and allocations to the private markets;</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rising complexity within private markets driven by proliferation of fund managers and specialized strategies;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global nature of private markets asset classes and their participants; and</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need for customized solutions as investors’ size, sophistication and allocations to private markets investments increased.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231F20"/>
        </w:rPr>
        <w:t>We set out to build a firm that would be tailored to meet this new market environment, and differentiated from the fund-of-funds and adviser-only models in existence at the time. We have focused on an integrated, full- service approach to private markets solutions with research depth as our core pillar of strength.</w:t>
      </w:r>
    </w:p>
    <w:p>
      <w:pPr>
        <w:spacing w:after="0" w:line="168"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231F20"/>
        </w:rPr>
        <w:t>We believe our success and growth since our founding has been driven by our continued focus on providing a high level of service, tailored to our clients’ evolving needs, through:</w:t>
      </w:r>
    </w:p>
    <w:p>
      <w:pPr>
        <w:spacing w:after="0" w:line="156" w:lineRule="exact"/>
        <w:rPr>
          <w:sz w:val="20"/>
          <w:szCs w:val="20"/>
          <w:color w:val="auto"/>
        </w:rPr>
      </w:pPr>
    </w:p>
    <w:p>
      <w:pPr>
        <w:ind w:left="660" w:right="260" w:hanging="328"/>
        <w:spacing w:after="0" w:line="26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Our focus on customization</w:t>
      </w:r>
      <w:r>
        <w:rPr>
          <w:rFonts w:ascii="Times New Roman" w:cs="Times New Roman" w:eastAsia="Times New Roman" w:hAnsi="Times New Roman"/>
          <w:sz w:val="20"/>
          <w:szCs w:val="20"/>
          <w:color w:val="231F20"/>
        </w:rPr>
        <w:t>. By leveraging our expertise across the private markets asset classes, investment strategies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commercial structures, we help our clients build customized portfolios that are designed to meet their specific objectives in a cost effective way.</w:t>
      </w:r>
    </w:p>
    <w:p>
      <w:pPr>
        <w:spacing w:after="0" w:line="161" w:lineRule="exact"/>
        <w:rPr>
          <w:rFonts w:ascii="Times New Roman" w:cs="Times New Roman" w:eastAsia="Times New Roman" w:hAnsi="Times New Roman"/>
          <w:sz w:val="20"/>
          <w:szCs w:val="20"/>
          <w:color w:val="auto"/>
        </w:rPr>
      </w:pPr>
    </w:p>
    <w:p>
      <w:pPr>
        <w:ind w:left="660" w:right="360" w:hanging="328"/>
        <w:spacing w:after="0" w:line="260" w:lineRule="auto"/>
        <w:tabs>
          <w:tab w:leader="none" w:pos="648"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Our global-and-local approach</w:t>
      </w:r>
      <w:r>
        <w:rPr>
          <w:rFonts w:ascii="Times New Roman" w:cs="Times New Roman" w:eastAsia="Times New Roman" w:hAnsi="Times New Roman"/>
          <w:sz w:val="20"/>
          <w:szCs w:val="20"/>
          <w:color w:val="231F20"/>
        </w:rPr>
        <w:t>. With offices in 28 cities across 16 countries on five continents, we have built a global operating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platform, organically and via acquisition, with strong local teams that possess valuable regional insights and deep-rooted relationships. This allows us to combine the advantages of having a knowledgeable on-the-ground presence with the benefits of operating as a global organization.</w:t>
      </w:r>
    </w:p>
    <w:p>
      <w:pPr>
        <w:spacing w:after="0" w:line="177" w:lineRule="exact"/>
        <w:rPr>
          <w:rFonts w:ascii="Times New Roman" w:cs="Times New Roman" w:eastAsia="Times New Roman" w:hAnsi="Times New Roman"/>
          <w:sz w:val="20"/>
          <w:szCs w:val="20"/>
          <w:color w:val="231F20"/>
        </w:rPr>
      </w:pPr>
    </w:p>
    <w:p>
      <w:pPr>
        <w:ind w:left="660" w:right="200" w:hanging="328"/>
        <w:spacing w:after="0" w:line="263" w:lineRule="auto"/>
        <w:tabs>
          <w:tab w:leader="none" w:pos="648"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Our multi-asset class expertise</w:t>
      </w:r>
      <w:r>
        <w:rPr>
          <w:rFonts w:ascii="Times New Roman" w:cs="Times New Roman" w:eastAsia="Times New Roman" w:hAnsi="Times New Roman"/>
          <w:sz w:val="20"/>
          <w:szCs w:val="20"/>
          <w:color w:val="231F20"/>
        </w:rPr>
        <w:t>. We operate at scale across the private markets asset classes—private equity, infrastructure, private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debt and real estate. We believe this multi-asset class expertise positions us well to compete for, win and execute tailored and complex investment solutions.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20" w:hanging="328"/>
        <w:spacing w:after="0" w:line="254" w:lineRule="auto"/>
        <w:tabs>
          <w:tab w:leader="none" w:pos="648"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Our proprietary data and technology</w:t>
      </w:r>
      <w:r>
        <w:rPr>
          <w:rFonts w:ascii="Times New Roman" w:cs="Times New Roman" w:eastAsia="Times New Roman" w:hAnsi="Times New Roman"/>
          <w:sz w:val="20"/>
          <w:szCs w:val="20"/>
          <w:color w:val="231F20"/>
        </w:rPr>
        <w:t>. Our proprietary data and technology platforms, including SPI by StepStone (“SPI”), a platform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comprising SPI Research, our private markets intelligence database, SPI Reporting, our performance monitoring software, and SPI Pacing, our portfolio cash flow, investment allocation and liquidity forecasting tool provide valuable information advantages, enhance our private markets insight, improve operational efficiency and facilitate portfolio monitoring and reporting functions. These benefits accrue to our clients and to us.</w:t>
      </w:r>
    </w:p>
    <w:p>
      <w:pPr>
        <w:spacing w:after="0" w:line="187" w:lineRule="exact"/>
        <w:rPr>
          <w:rFonts w:ascii="Times New Roman" w:cs="Times New Roman" w:eastAsia="Times New Roman" w:hAnsi="Times New Roman"/>
          <w:sz w:val="20"/>
          <w:szCs w:val="20"/>
          <w:color w:val="231F20"/>
        </w:rPr>
      </w:pPr>
    </w:p>
    <w:p>
      <w:pPr>
        <w:ind w:left="660" w:right="80" w:hanging="328"/>
        <w:spacing w:after="0" w:line="273" w:lineRule="auto"/>
        <w:tabs>
          <w:tab w:leader="none" w:pos="648"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i w:val="1"/>
          <w:iCs w:val="1"/>
          <w:color w:val="231F20"/>
        </w:rPr>
        <w:t>Our large and experienced team</w:t>
      </w:r>
      <w:r>
        <w:rPr>
          <w:rFonts w:ascii="Times New Roman" w:cs="Times New Roman" w:eastAsia="Times New Roman" w:hAnsi="Times New Roman"/>
          <w:sz w:val="19"/>
          <w:szCs w:val="19"/>
          <w:color w:val="231F20"/>
        </w:rPr>
        <w:t>. Since our inception, we have focused on recruiting and retaining the best talent. As of April 1,</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2025, 108 partners led the firm, with an average of over 20 years of investment or industry experience. As of March 31, 2025, we had approximately 1,130 total employees, including over 375 investment professionals and approximately 750 employees across our operating team and implementation teams dedicated to sourcing, executing, analyzing and monitoring private markets opportunities.</w:t>
      </w:r>
    </w:p>
    <w:p>
      <w:pPr>
        <w:spacing w:after="0" w:line="17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231F20"/>
        </w:rPr>
        <w:t>We believe our scale and position in private markets provide us a distinct competitive advantage with our clients and fund managers. As we grow our client relationships, we are able to allocate additional capital, which allows us to expand our fund manager relationships, resulting in access to additional investment opportunities and data. This, in turn, helps us make better investment decisions and generate better returns, thereby attracting new clients and investment opportunities.</w:t>
      </w:r>
    </w:p>
    <w:p>
      <w:pPr>
        <w:spacing w:after="0" w:line="1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231F20"/>
        </w:rPr>
        <w:t>During the year ended March 31, 2025, we reviewed over 4,000 investment opportunities and conducted approximately 5,600 meetings with fund managers across multiple geographies and all four asset classes. During the last three years ended December 31, 2024, we allocated an average of $70 billion annually in capital to private markets on behalf of our clients, excluding legacy funds, feeder funds and research-only, non-advisory services.</w:t>
      </w:r>
    </w:p>
    <w:p>
      <w:pPr>
        <w:spacing w:after="0" w:line="186"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231F20"/>
        </w:rPr>
        <w:t>We have a flexible business model whereby many of our clients engage us for solutions across multiple asset classes and investment strategies. Our solutions are typically offered in the following commercial structures:</w:t>
      </w:r>
    </w:p>
    <w:p>
      <w:pPr>
        <w:spacing w:after="0" w:line="169" w:lineRule="exact"/>
        <w:rPr>
          <w:sz w:val="20"/>
          <w:szCs w:val="20"/>
          <w:color w:val="auto"/>
        </w:rPr>
      </w:pPr>
    </w:p>
    <w:p>
      <w:pPr>
        <w:ind w:left="660" w:right="100" w:hanging="328"/>
        <w:spacing w:after="0" w:line="260"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Separately managed accounts (“SMAs”)</w:t>
      </w:r>
      <w:r>
        <w:rPr>
          <w:rFonts w:ascii="Times New Roman" w:cs="Times New Roman" w:eastAsia="Times New Roman" w:hAnsi="Times New Roman"/>
          <w:sz w:val="20"/>
          <w:szCs w:val="20"/>
          <w:color w:val="231F20"/>
        </w:rPr>
        <w:t>. Owned by one client and managed according to their specific preferences, SMAs integrate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$115 billion of our AUM as of March 31, 2025.</w:t>
      </w:r>
    </w:p>
    <w:p>
      <w:pPr>
        <w:spacing w:after="0" w:line="164" w:lineRule="exact"/>
        <w:rPr>
          <w:rFonts w:ascii="Times New Roman" w:cs="Times New Roman" w:eastAsia="Times New Roman" w:hAnsi="Times New Roman"/>
          <w:sz w:val="20"/>
          <w:szCs w:val="20"/>
          <w:color w:val="auto"/>
        </w:rPr>
      </w:pPr>
    </w:p>
    <w:p>
      <w:pPr>
        <w:ind w:left="660" w:right="220" w:hanging="328"/>
        <w:spacing w:after="0" w:line="287" w:lineRule="auto"/>
        <w:tabs>
          <w:tab w:leader="none" w:pos="648"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Focused commingled funds</w:t>
      </w:r>
      <w:r>
        <w:rPr>
          <w:rFonts w:ascii="Times New Roman" w:cs="Times New Roman" w:eastAsia="Times New Roman" w:hAnsi="Times New Roman"/>
          <w:sz w:val="20"/>
          <w:szCs w:val="20"/>
          <w:color w:val="231F20"/>
        </w:rPr>
        <w:t>. Owned by multiple clients, our focused commingled funds deploy capital in specific asset classes with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defined investment strategies. Focused commingled funds comprised $59 billion of our AUM as of March 31, 2025.</w:t>
      </w:r>
    </w:p>
    <w:p>
      <w:pPr>
        <w:spacing w:after="0" w:line="151" w:lineRule="exact"/>
        <w:rPr>
          <w:rFonts w:ascii="Times New Roman" w:cs="Times New Roman" w:eastAsia="Times New Roman" w:hAnsi="Times New Roman"/>
          <w:sz w:val="20"/>
          <w:szCs w:val="20"/>
          <w:color w:val="231F20"/>
        </w:rPr>
      </w:pPr>
    </w:p>
    <w:p>
      <w:pPr>
        <w:ind w:left="660" w:right="60" w:hanging="328"/>
        <w:spacing w:after="0" w:line="251" w:lineRule="auto"/>
        <w:tabs>
          <w:tab w:leader="none" w:pos="648"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Advisory and data services</w:t>
      </w:r>
      <w:r>
        <w:rPr>
          <w:rFonts w:ascii="Times New Roman" w:cs="Times New Roman" w:eastAsia="Times New Roman" w:hAnsi="Times New Roman"/>
          <w:sz w:val="20"/>
          <w:szCs w:val="20"/>
          <w:color w:val="231F20"/>
        </w:rPr>
        <w:t>. These services include one or more of the following for our clients: (i) recurring support of portfolio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SPI Research and our other proprietary tools. Advisory relationships comprised $520 billion of our AUA and </w:t>
      </w:r>
      <w:r>
        <w:rPr>
          <w:rFonts w:ascii="Times New Roman" w:cs="Times New Roman" w:eastAsia="Times New Roman" w:hAnsi="Times New Roman"/>
          <w:sz w:val="20"/>
          <w:szCs w:val="20"/>
          <w:color w:val="000000"/>
        </w:rPr>
        <w:t>$15 billion</w:t>
      </w:r>
      <w:r>
        <w:rPr>
          <w:rFonts w:ascii="Times New Roman" w:cs="Times New Roman" w:eastAsia="Times New Roman" w:hAnsi="Times New Roman"/>
          <w:sz w:val="20"/>
          <w:szCs w:val="20"/>
          <w:color w:val="231F20"/>
        </w:rPr>
        <w:t xml:space="preserve"> of our AUM as of March 31,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80" w:hanging="328"/>
        <w:spacing w:after="0" w:line="255" w:lineRule="auto"/>
        <w:tabs>
          <w:tab w:leader="none" w:pos="648"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Portfolio analytics and reporting</w:t>
      </w:r>
      <w:r>
        <w:rPr>
          <w:rFonts w:ascii="Times New Roman" w:cs="Times New Roman" w:eastAsia="Times New Roman" w:hAnsi="Times New Roman"/>
          <w:sz w:val="20"/>
          <w:szCs w:val="20"/>
          <w:color w:val="231F20"/>
        </w:rPr>
        <w:t>. We provide clients with tailored reporting packages, including customized performance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benchmarks as well as associated compliance, administrative and tax capabilities. Mandates for portfolio analytics and reporting services typically include licensed access to our proprietary performance monitoring software, SPI Reporting. We provided portfolio analytics and reporting on nearly $780 billion of client commitments through SPI Reporting as of March 31, 2025.</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Our Competitive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Truly Global Scale with Local Teams</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231F20"/>
        </w:rPr>
        <w:t>Since our founding, we have invested and continue to invest significant time and resources building a global platform that we believe is well positioned to benefit from the continued growth and globalization of the private markets. Today, we have investment and implementation professionals in 28 cities across 16 countries on five continents.</w:t>
      </w:r>
    </w:p>
    <w:p>
      <w:pPr>
        <w:spacing w:after="0" w:line="181"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231F20"/>
        </w:rPr>
        <w:t>Our offices are staffed by investment professionals who bring valuable regional insights and language proficiency to enhance existing client relationships and build new client relationships. Each of our offices follows a local staffing model, with local professionals who possess valuable insights, language proficiency and client relationships specific to that market. As of March 31, 2025, approximately 45% of our investment professionals were based outside the United States. We believe our focus on hiring local talent, supported by a deep bench of experienced investment professionals, has been critical in helping us attract a blue-chip, global client base.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Full-Service, Customized Approach to Delivering Solutions</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231F20"/>
        </w:rPr>
        <w:t>We have significant expertise in customized offerings given our scale, which enables us to maintain a proprietary database across key facets of private markets investing, and our research-focused culture, which enables us to utilize this information advantage to inform our investment decisions and deliver highly customized insights and services to our clients.</w:t>
      </w:r>
    </w:p>
    <w:p>
      <w:pPr>
        <w:spacing w:after="0" w:line="16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231F20"/>
        </w:rPr>
        <w:t>As a result, we are able to offer a full suite of investment solutions to our clients, not only by assisting them with building customized private markets portfolios, but also offering other value-add services such as strategic planning and research, portfolio repositioning, and portfolio monitoring and reporting. We believe our value proposition as a full-service firm also helps us strengthen and grow our client relationships. As of March 31, 2025, 34% of our advisory clients also had an AUM relationship with us, and we advised or managed assets in more than one asset class for 35% of our clients, supporting our total capital responsibility growth.</w:t>
      </w:r>
    </w:p>
    <w:p>
      <w:pPr>
        <w:spacing w:after="0" w:line="17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0"/>
          <w:szCs w:val="20"/>
          <w:color w:val="231F20"/>
        </w:rPr>
        <w:t>Our focus on offering full-service, customized solutions to our clients is reflected in our business composition. As of March 31, 2025, we had 348 bespoke SMAs and focused commingled funds. For the year ended March 31, 2025, approximately 57% of our management and advisory fees were generated from focused commingled funds, 33% from SMAs, 9% from advisory and data services and 1% from fund reimbursement revenues.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Scale Across Private Markets Asset Classes</w:t>
      </w:r>
    </w:p>
    <w:p>
      <w:pPr>
        <w:spacing w:after="0" w:line="220" w:lineRule="exact"/>
        <w:rPr>
          <w:sz w:val="20"/>
          <w:szCs w:val="20"/>
          <w:color w:val="auto"/>
        </w:rPr>
      </w:pPr>
    </w:p>
    <w:p>
      <w:pPr>
        <w:ind w:right="660" w:firstLine="648"/>
        <w:spacing w:after="0" w:line="261" w:lineRule="auto"/>
        <w:rPr>
          <w:sz w:val="20"/>
          <w:szCs w:val="20"/>
          <w:color w:val="auto"/>
        </w:rPr>
      </w:pPr>
      <w:r>
        <w:rPr>
          <w:rFonts w:ascii="Times New Roman" w:cs="Times New Roman" w:eastAsia="Times New Roman" w:hAnsi="Times New Roman"/>
          <w:sz w:val="20"/>
          <w:szCs w:val="20"/>
          <w:color w:val="231F20"/>
        </w:rPr>
        <w:t>We believe our scale across asset classes, deal flow access and dedicated operational resources is increasingly a competitive advantage in private markets solutions. We believe investors are reducing the number of fund managers they invest with, increasingly allocating capital to fund managers that have expertise across a wide range of asset classes within private markets.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PRIVATE EQUITY</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REAL ESTATE</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Pr>
          <w:p>
            <w:pPr>
              <w:jc w:val="center"/>
              <w:ind w:left="250"/>
              <w:spacing w:after="0" w:line="223" w:lineRule="exact"/>
              <w:rPr>
                <w:sz w:val="20"/>
                <w:szCs w:val="20"/>
                <w:color w:val="auto"/>
              </w:rPr>
            </w:pPr>
            <w:r>
              <w:rPr>
                <w:rFonts w:ascii="Times New Roman" w:cs="Times New Roman" w:eastAsia="Times New Roman" w:hAnsi="Times New Roman"/>
                <w:sz w:val="18"/>
                <w:szCs w:val="18"/>
                <w:b w:val="1"/>
                <w:bCs w:val="1"/>
                <w:color w:val="auto"/>
                <w:w w:val="91"/>
              </w:rPr>
              <w:t>$96B</w:t>
            </w:r>
            <w:r>
              <w:rPr>
                <w:rFonts w:ascii="Times New Roman" w:cs="Times New Roman" w:eastAsia="Times New Roman" w:hAnsi="Times New Roman"/>
                <w:sz w:val="23"/>
                <w:szCs w:val="23"/>
                <w:b w:val="1"/>
                <w:bCs w:val="1"/>
                <w:color w:val="auto"/>
                <w:w w:val="91"/>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$65B</w:t>
            </w:r>
          </w:p>
        </w:tc>
        <w:tc>
          <w:tcPr>
            <w:tcW w:w="152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$263B</w:t>
            </w: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left="230"/>
              <w:spacing w:after="0" w:line="223" w:lineRule="exact"/>
              <w:rPr>
                <w:sz w:val="20"/>
                <w:szCs w:val="20"/>
                <w:color w:val="auto"/>
              </w:rPr>
            </w:pPr>
            <w:r>
              <w:rPr>
                <w:rFonts w:ascii="Times New Roman" w:cs="Times New Roman" w:eastAsia="Times New Roman" w:hAnsi="Times New Roman"/>
                <w:sz w:val="18"/>
                <w:szCs w:val="18"/>
                <w:b w:val="1"/>
                <w:bCs w:val="1"/>
                <w:color w:val="auto"/>
                <w:w w:val="94"/>
              </w:rPr>
              <w:t>$19B</w:t>
            </w:r>
            <w:r>
              <w:rPr>
                <w:rFonts w:ascii="Times New Roman" w:cs="Times New Roman" w:eastAsia="Times New Roman" w:hAnsi="Times New Roman"/>
                <w:sz w:val="23"/>
                <w:szCs w:val="23"/>
                <w:b w:val="1"/>
                <w:bCs w:val="1"/>
                <w:color w:val="auto"/>
                <w:w w:val="94"/>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$13B</w:t>
            </w: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$168B</w:t>
            </w:r>
          </w:p>
        </w:tc>
        <w:tc>
          <w:tcPr>
            <w:tcW w:w="20" w:type="dxa"/>
            <w:vAlign w:val="bottom"/>
            <w:shd w:val="clear" w:color="auto" w:fill="000000"/>
          </w:tcPr>
          <w:p>
            <w:pPr>
              <w:spacing w:after="0"/>
              <w:rPr>
                <w:sz w:val="19"/>
                <w:szCs w:val="19"/>
                <w:color w:val="auto"/>
              </w:rPr>
            </w:pPr>
          </w:p>
        </w:tc>
      </w:tr>
      <w:tr>
        <w:trPr>
          <w:trHeight w:val="229"/>
        </w:trPr>
        <w:tc>
          <w:tcPr>
            <w:tcW w:w="80" w:type="dxa"/>
            <w:vAlign w:val="bottom"/>
            <w:tcBorders>
              <w:left w:val="single" w:sz="8" w:color="auto"/>
            </w:tcBorders>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AUM</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20" w:type="dxa"/>
            <w:vAlign w:val="bottom"/>
            <w:tcBorders>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AUM</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20" w:type="dxa"/>
            <w:vAlign w:val="bottom"/>
            <w:shd w:val="clear" w:color="auto" w:fill="000000"/>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175</w:t>
            </w:r>
          </w:p>
        </w:tc>
        <w:tc>
          <w:tcPr>
            <w:tcW w:w="14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65+</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r>
      <w:tr>
        <w:trPr>
          <w:trHeight w:val="229"/>
        </w:trPr>
        <w:tc>
          <w:tcPr>
            <w:tcW w:w="80" w:type="dxa"/>
            <w:vAlign w:val="bottom"/>
            <w:tcBorders>
              <w:left w:val="single" w:sz="8" w:color="auto"/>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250"/>
        </w:trPr>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INFRASTRUCTURE</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PRIVATE DEBT</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Pr>
          <w:p>
            <w:pPr>
              <w:jc w:val="center"/>
              <w:ind w:left="250"/>
              <w:spacing w:after="0" w:line="223" w:lineRule="exact"/>
              <w:rPr>
                <w:sz w:val="20"/>
                <w:szCs w:val="20"/>
                <w:color w:val="auto"/>
              </w:rPr>
            </w:pPr>
            <w:r>
              <w:rPr>
                <w:rFonts w:ascii="Times New Roman" w:cs="Times New Roman" w:eastAsia="Times New Roman" w:hAnsi="Times New Roman"/>
                <w:sz w:val="18"/>
                <w:szCs w:val="18"/>
                <w:b w:val="1"/>
                <w:bCs w:val="1"/>
                <w:color w:val="auto"/>
                <w:w w:val="91"/>
              </w:rPr>
              <w:t>$37B</w:t>
            </w:r>
            <w:r>
              <w:rPr>
                <w:rFonts w:ascii="Times New Roman" w:cs="Times New Roman" w:eastAsia="Times New Roman" w:hAnsi="Times New Roman"/>
                <w:sz w:val="23"/>
                <w:szCs w:val="23"/>
                <w:b w:val="1"/>
                <w:bCs w:val="1"/>
                <w:color w:val="auto"/>
                <w:w w:val="91"/>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$24B</w:t>
            </w:r>
          </w:p>
        </w:tc>
        <w:tc>
          <w:tcPr>
            <w:tcW w:w="15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$69B</w:t>
            </w: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left="230"/>
              <w:spacing w:after="0" w:line="223" w:lineRule="exact"/>
              <w:rPr>
                <w:sz w:val="20"/>
                <w:szCs w:val="20"/>
                <w:color w:val="auto"/>
              </w:rPr>
            </w:pPr>
            <w:r>
              <w:rPr>
                <w:rFonts w:ascii="Times New Roman" w:cs="Times New Roman" w:eastAsia="Times New Roman" w:hAnsi="Times New Roman"/>
                <w:sz w:val="18"/>
                <w:szCs w:val="18"/>
                <w:b w:val="1"/>
                <w:bCs w:val="1"/>
                <w:color w:val="auto"/>
                <w:w w:val="94"/>
              </w:rPr>
              <w:t>$37B</w:t>
            </w:r>
            <w:r>
              <w:rPr>
                <w:rFonts w:ascii="Times New Roman" w:cs="Times New Roman" w:eastAsia="Times New Roman" w:hAnsi="Times New Roman"/>
                <w:sz w:val="23"/>
                <w:szCs w:val="23"/>
                <w:b w:val="1"/>
                <w:bCs w:val="1"/>
                <w:color w:val="auto"/>
                <w:w w:val="94"/>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$20B</w:t>
            </w: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$20B</w:t>
            </w:r>
          </w:p>
        </w:tc>
        <w:tc>
          <w:tcPr>
            <w:tcW w:w="20" w:type="dxa"/>
            <w:vAlign w:val="bottom"/>
            <w:shd w:val="clear" w:color="auto" w:fill="000000"/>
          </w:tcPr>
          <w:p>
            <w:pPr>
              <w:spacing w:after="0"/>
              <w:rPr>
                <w:sz w:val="19"/>
                <w:szCs w:val="19"/>
                <w:color w:val="auto"/>
              </w:rPr>
            </w:pPr>
          </w:p>
        </w:tc>
      </w:tr>
      <w:tr>
        <w:trPr>
          <w:trHeight w:val="229"/>
        </w:trPr>
        <w:tc>
          <w:tcPr>
            <w:tcW w:w="80" w:type="dxa"/>
            <w:vAlign w:val="bottom"/>
            <w:tcBorders>
              <w:left w:val="single" w:sz="8" w:color="auto"/>
            </w:tcBorders>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AUM</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20" w:type="dxa"/>
            <w:vAlign w:val="bottom"/>
            <w:tcBorders>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AUM</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20" w:type="dxa"/>
            <w:vAlign w:val="bottom"/>
            <w:shd w:val="clear" w:color="auto" w:fill="000000"/>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70+</w:t>
            </w:r>
          </w:p>
        </w:tc>
        <w:tc>
          <w:tcPr>
            <w:tcW w:w="14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60+</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r>
      <w:tr>
        <w:trPr>
          <w:trHeight w:val="229"/>
        </w:trPr>
        <w:tc>
          <w:tcPr>
            <w:tcW w:w="80" w:type="dxa"/>
            <w:vAlign w:val="bottom"/>
            <w:tcBorders>
              <w:left w:val="single" w:sz="8" w:color="auto"/>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231F20"/>
        </w:rPr>
        <w:t>Note: Amounts may not sum to total due to rounding. Data presented as of March 31, 2025. AUM/AUA reflects final data for the prior period (December 31, 2024), adjusted for net new client account activity through March 31, 2025. Does not include post-period investment valuation or cash activity. Net asset value (“NAV”) data for underlying investments is as of December 31, 2024, as reported by underlying managers up to the business day occurring on or after 115 days following December 31, 2024. When NAV data is not available by the business day occurring on or after 115 days following December 31, 2024, such NAVs are adjusted for cash activity following the last available reported NAV.</w:t>
      </w:r>
    </w:p>
    <w:p>
      <w:pPr>
        <w:spacing w:after="0" w:line="2"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Allocation of AUM by asset class is presented by underlying investment asset classification.</w:t>
      </w:r>
    </w:p>
    <w:p>
      <w:pPr>
        <w:spacing w:after="0" w:line="198" w:lineRule="exact"/>
        <w:rPr>
          <w:rFonts w:ascii="Times New Roman" w:cs="Times New Roman" w:eastAsia="Times New Roman" w:hAnsi="Times New Roman"/>
          <w:sz w:val="18"/>
          <w:szCs w:val="18"/>
          <w:color w:val="231F20"/>
        </w:rPr>
      </w:pPr>
    </w:p>
    <w:p>
      <w:pPr>
        <w:ind w:left="66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20"/>
          <w:szCs w:val="20"/>
          <w:b w:val="1"/>
          <w:bCs w:val="1"/>
          <w:color w:val="231F20"/>
        </w:rPr>
        <w:t>Well Positioned to Continue to Serve and Grow Our Diverse and Global Client Base</w:t>
      </w:r>
    </w:p>
    <w:p>
      <w:pPr>
        <w:spacing w:after="0" w:line="233"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231F20"/>
        </w:rPr>
        <w:t>We believe we are a leading provider of private markets solutions for a broad variety of clients. Our clients include some of the world’s largest public and private defined benefit and defined contribution pension funds, sovereign wealth funds and insurance companies, as well as prominent endowments, foundations, family offices and private wealth clients. In many instances, existing clients have increased allocations to additional asset classes and commercial structures and deployed capital across our asset management and advisory services businesses.</w:t>
      </w:r>
    </w:p>
    <w:p>
      <w:pPr>
        <w:spacing w:after="0" w:line="192" w:lineRule="exact"/>
        <w:rPr>
          <w:sz w:val="20"/>
          <w:szCs w:val="20"/>
          <w:color w:val="auto"/>
        </w:rPr>
      </w:pPr>
    </w:p>
    <w:p>
      <w:pPr>
        <w:jc w:val="both"/>
        <w:ind w:right="180" w:firstLine="648"/>
        <w:spacing w:after="0" w:line="281" w:lineRule="auto"/>
        <w:rPr>
          <w:sz w:val="20"/>
          <w:szCs w:val="20"/>
          <w:color w:val="auto"/>
        </w:rPr>
      </w:pPr>
      <w:r>
        <w:rPr>
          <w:rFonts w:ascii="Times New Roman" w:cs="Times New Roman" w:eastAsia="Times New Roman" w:hAnsi="Times New Roman"/>
          <w:sz w:val="19"/>
          <w:szCs w:val="19"/>
          <w:color w:val="231F20"/>
        </w:rPr>
        <w:t>Our dedicated in-house business development, marketing and client relations teams, comprising approximately 200 professionals in offices across 15 countries, maintain an active and transparent dialogue with our diverse and global client base. Consistent with our staffing model on the investment side, we ensure local clients are interfacing with business development professionals who have local expertise.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Preeminent Data and Analytics with Proprietary Software</w:t>
      </w:r>
    </w:p>
    <w:p>
      <w:pPr>
        <w:spacing w:after="0" w:line="220" w:lineRule="exact"/>
        <w:rPr>
          <w:sz w:val="20"/>
          <w:szCs w:val="20"/>
          <w:color w:val="auto"/>
        </w:rPr>
      </w:pPr>
    </w:p>
    <w:p>
      <w:pPr>
        <w:jc w:val="both"/>
        <w:ind w:right="180" w:firstLine="648"/>
        <w:spacing w:after="0" w:line="283" w:lineRule="auto"/>
        <w:rPr>
          <w:sz w:val="20"/>
          <w:szCs w:val="20"/>
          <w:color w:val="auto"/>
        </w:rPr>
      </w:pPr>
      <w:r>
        <w:rPr>
          <w:rFonts w:ascii="Times New Roman" w:cs="Times New Roman" w:eastAsia="Times New Roman" w:hAnsi="Times New Roman"/>
          <w:sz w:val="20"/>
          <w:szCs w:val="20"/>
          <w:color w:val="231F20"/>
        </w:rPr>
        <w:t>Our data-driven, research-focused approach has been core to our investment philosophy since inception, which we believe is one of our biggest competitive strengths. Our data are organized around our proprietary software systems:</w:t>
      </w:r>
    </w:p>
    <w:p>
      <w:pPr>
        <w:spacing w:after="0" w:line="146" w:lineRule="exact"/>
        <w:rPr>
          <w:sz w:val="20"/>
          <w:szCs w:val="20"/>
          <w:color w:val="auto"/>
        </w:rPr>
      </w:pPr>
    </w:p>
    <w:p>
      <w:pPr>
        <w:ind w:left="660" w:right="60" w:hanging="328"/>
        <w:spacing w:after="0" w:line="253" w:lineRule="auto"/>
        <w:tabs>
          <w:tab w:leader="none" w:pos="648"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SPI Research monitors investment opportunities and is used by our investment professionals as an investment decision making tool. As of March 31, 2025, SPI Research contained information on approximately 18,000 fund managers, 49,000 funds, 122,000 companies, and </w:t>
      </w:r>
      <w:r>
        <w:rPr>
          <w:rFonts w:ascii="Times New Roman" w:cs="Times New Roman" w:eastAsia="Times New Roman" w:hAnsi="Times New Roman"/>
          <w:sz w:val="20"/>
          <w:szCs w:val="20"/>
          <w:color w:val="000000"/>
        </w:rPr>
        <w:t>273,000 investments</w:t>
      </w:r>
      <w:r>
        <w:rPr>
          <w:rFonts w:ascii="Times New Roman" w:cs="Times New Roman" w:eastAsia="Times New Roman" w:hAnsi="Times New Roman"/>
          <w:sz w:val="20"/>
          <w:szCs w:val="20"/>
          <w:color w:val="231F20"/>
        </w:rPr>
        <w:t xml:space="preserve">. SPI Research initially augmented our own due diligence, investment and portfolio construction processes. In response to growing industry demand for private markets intelligence, we subsequently developed an interface for direct client access. Through SPI Research, our clients can access detailed, regularly updated information on managers through an intuitive, web-based user interface. Our research professionals utilize this technology to collect and develop qualitative and quantitative perspectives on </w:t>
      </w:r>
      <w:r>
        <w:rPr>
          <w:rFonts w:ascii="Times New Roman" w:cs="Times New Roman" w:eastAsia="Times New Roman" w:hAnsi="Times New Roman"/>
          <w:sz w:val="20"/>
          <w:szCs w:val="20"/>
          <w:color w:val="000000"/>
        </w:rPr>
        <w:t>investment opportunities.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20" w:hanging="328"/>
        <w:spacing w:after="0" w:line="261" w:lineRule="auto"/>
        <w:tabs>
          <w:tab w:leader="none" w:pos="648"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SPI Reporting monitors the performance of our clients’ investments and allows users, including our clients, to generate detailed analytics. SPI Reporting is used extensively by our StepStone Portfolio Analytics &amp; Reporting (“SPAR”) team to provide customized portfolio analytics and reporting on the performance of our clients’ investments.</w:t>
      </w:r>
    </w:p>
    <w:p>
      <w:pPr>
        <w:spacing w:after="0" w:line="168"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0"/>
          <w:szCs w:val="20"/>
          <w:color w:val="231F20"/>
        </w:rPr>
        <w:t>We also have a number of additional proprietary tools that we use and license in service of our clients, including our SPI Pacing tool that enables clients to forecast liquidity needs, our daily valuation engine that facilitates asset management solutions offering periodic subscription or liquidity (such as the mass affluent and defined contribution plan markets), sustainability reporting dashboards that allow our clients, if they so desire, to monitor their portfolio against these non-financial metrics, and a secondary pricing engine that drives operating leverage in our evaluation of larger and more complex transactions. The combination of SPI Research, SPI Reporting, and our other tools offers an end-to-end software technology and data solution that delivers significantly more information than most private markets investors have available, providing us with a meaningful advantage in our investment, due diligence and client relations efforts. Data science within private markets has historically been difficult due to the lack of standardization and the labor-intensive process of collecting and processing information. We have a dedicated Data and Software Engineering team, which manages and continues to develop our SPI Research and SPI Reporting platforms (and our additional proprietary tools built on these platforms) and supports our efforts to be a market leader in an area that is essential to evaluating private markets.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Strong Investment Performance Track Record</w:t>
      </w:r>
    </w:p>
    <w:p>
      <w:pPr>
        <w:spacing w:after="0" w:line="23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231F20"/>
        </w:rPr>
        <w:t>We believe our track record is a key point of differentiation to our clients. As shown below, we have outperformed the MSCI ACWI Index, the benchmark index used for comparison across all of our investment strategies on an inception-to-date basis as of December 31, 2024. See “Part II, Item 7. Management’s Discussion and Analysis of Financial Condition and Results of Operations—Investment Performance” below for more information and explanatory footnotes.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billions except percentages</w:t>
      </w:r>
    </w:p>
    <w:p>
      <w:pPr>
        <w:ind w:left="20"/>
        <w:spacing w:after="0"/>
        <w:rPr>
          <w:sz w:val="20"/>
          <w:szCs w:val="20"/>
          <w:color w:val="auto"/>
        </w:rPr>
      </w:pPr>
      <w:r>
        <w:rPr>
          <w:rFonts w:ascii="Times New Roman" w:cs="Times New Roman" w:eastAsia="Times New Roman" w:hAnsi="Times New Roman"/>
          <w:sz w:val="16"/>
          <w:szCs w:val="16"/>
          <w:color w:val="auto"/>
        </w:rPr>
        <w:t>and multiples)</w:t>
      </w:r>
    </w:p>
    <w:tbl>
      <w:tblPr>
        <w:tblLayout w:type="fixed"/>
        <w:tblInd w:w="20" w:type="dxa"/>
        <w:tblCellMar>
          <w:top w:w="0" w:type="dxa"/>
          <w:left w:w="0" w:type="dxa"/>
          <w:bottom w:w="0" w:type="dxa"/>
          <w:right w:w="0" w:type="dxa"/>
        </w:tblCellMar>
      </w:tblPr>
      <w:tr>
        <w:trPr>
          <w:trHeight w:val="176"/>
        </w:trPr>
        <w:tc>
          <w:tcPr>
            <w:tcW w:w="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Committed</w:t>
            </w:r>
          </w:p>
        </w:tc>
        <w:tc>
          <w:tcPr>
            <w:tcW w:w="140" w:type="dxa"/>
            <w:vAlign w:val="bottom"/>
          </w:tcPr>
          <w:p>
            <w:pPr>
              <w:spacing w:after="0"/>
              <w:rPr>
                <w:sz w:val="15"/>
                <w:szCs w:val="15"/>
                <w:color w:val="auto"/>
              </w:rPr>
            </w:pPr>
          </w:p>
        </w:tc>
        <w:tc>
          <w:tcPr>
            <w:tcW w:w="940" w:type="dxa"/>
            <w:vAlign w:val="bottom"/>
          </w:tcPr>
          <w:p>
            <w:pPr>
              <w:jc w:val="center"/>
              <w:ind w:right="59"/>
              <w:spacing w:after="0" w:line="177" w:lineRule="exact"/>
              <w:rPr>
                <w:sz w:val="20"/>
                <w:szCs w:val="20"/>
                <w:color w:val="auto"/>
              </w:rPr>
            </w:pPr>
            <w:r>
              <w:rPr>
                <w:rFonts w:ascii="Times New Roman" w:cs="Times New Roman" w:eastAsia="Times New Roman" w:hAnsi="Times New Roman"/>
                <w:sz w:val="16"/>
                <w:szCs w:val="16"/>
                <w:color w:val="auto"/>
              </w:rPr>
              <w:t>Cumulative</w:t>
            </w:r>
          </w:p>
        </w:tc>
        <w:tc>
          <w:tcPr>
            <w:tcW w:w="120" w:type="dxa"/>
            <w:vAlign w:val="bottom"/>
          </w:tcPr>
          <w:p>
            <w:pPr>
              <w:spacing w:after="0"/>
              <w:rPr>
                <w:sz w:val="15"/>
                <w:szCs w:val="15"/>
                <w:color w:val="auto"/>
              </w:rPr>
            </w:pPr>
          </w:p>
        </w:tc>
        <w:tc>
          <w:tcPr>
            <w:tcW w:w="10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Realized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rPr>
              <w:t>Net Multiple of</w:t>
            </w:r>
          </w:p>
        </w:tc>
        <w:tc>
          <w:tcPr>
            <w:tcW w:w="120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Net IRR versus</w:t>
            </w: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Strategy</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w w:val="99"/>
              </w:rPr>
              <w:t>Invested</w:t>
            </w: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NAV</w:t>
            </w:r>
          </w:p>
        </w:tc>
        <w:tc>
          <w:tcPr>
            <w:tcW w:w="180" w:type="dxa"/>
            <w:vAlign w:val="bottom"/>
          </w:tcPr>
          <w:p>
            <w:pPr>
              <w:spacing w:after="0"/>
              <w:rPr>
                <w:sz w:val="14"/>
                <w:szCs w:val="14"/>
                <w:color w:val="auto"/>
              </w:rPr>
            </w:pPr>
          </w:p>
        </w:tc>
        <w:tc>
          <w:tcPr>
            <w:tcW w:w="6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Gross IRR</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Net IRR</w:t>
            </w:r>
          </w:p>
        </w:tc>
        <w:tc>
          <w:tcPr>
            <w:tcW w:w="20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Invested</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99"/>
              <w:spacing w:after="0" w:line="175" w:lineRule="exact"/>
              <w:rPr>
                <w:sz w:val="20"/>
                <w:szCs w:val="20"/>
                <w:color w:val="auto"/>
              </w:rPr>
            </w:pPr>
            <w:r>
              <w:rPr>
                <w:rFonts w:ascii="Times New Roman" w:cs="Times New Roman" w:eastAsia="Times New Roman" w:hAnsi="Times New Roman"/>
                <w:sz w:val="16"/>
                <w:szCs w:val="16"/>
                <w:color w:val="auto"/>
              </w:rPr>
              <w:t>Capital</w:t>
            </w:r>
          </w:p>
        </w:tc>
        <w:tc>
          <w:tcPr>
            <w:tcW w:w="140" w:type="dxa"/>
            <w:vAlign w:val="bottom"/>
          </w:tcPr>
          <w:p>
            <w:pPr>
              <w:spacing w:after="0"/>
              <w:rPr>
                <w:sz w:val="15"/>
                <w:szCs w:val="15"/>
                <w:color w:val="auto"/>
              </w:rPr>
            </w:pPr>
          </w:p>
        </w:tc>
        <w:tc>
          <w:tcPr>
            <w:tcW w:w="940" w:type="dxa"/>
            <w:vAlign w:val="bottom"/>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Capital</w:t>
            </w:r>
          </w:p>
        </w:tc>
        <w:tc>
          <w:tcPr>
            <w:tcW w:w="120" w:type="dxa"/>
            <w:vAlign w:val="bottom"/>
          </w:tcPr>
          <w:p>
            <w:pPr>
              <w:spacing w:after="0"/>
              <w:rPr>
                <w:sz w:val="15"/>
                <w:szCs w:val="15"/>
                <w:color w:val="auto"/>
              </w:rPr>
            </w:pPr>
          </w:p>
        </w:tc>
        <w:tc>
          <w:tcPr>
            <w:tcW w:w="100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Distributions</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Capital</w:t>
            </w: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Benchmark</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Primaries</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20" w:type="dxa"/>
            <w:vAlign w:val="bottom"/>
            <w:gridSpan w:val="2"/>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1.4x</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Secondaries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1.3x</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Co-investments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1.4x</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409.9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204.5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463.0</w:t>
            </w:r>
          </w:p>
        </w:tc>
        <w:tc>
          <w:tcPr>
            <w:tcW w:w="10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12.1 %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11.2 %</w:t>
            </w:r>
          </w:p>
        </w:tc>
        <w:tc>
          <w:tcPr>
            <w:tcW w:w="11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1.4x</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0.9 %</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We attribute our strong investment performance track record to numerous factors, including our scale and global reach, our selective investment process powered by our technology and data advantage and our experienced investment teams. Together, these attributes allow us to source highly attractive investment opportunities with a compelling risk-adjusted return profile for our clients’ diverse investment objectives. Our track record has attracted clients seeking exposure to investments with varying risk and return objectives and, in turn, allowed us to successfully and consistently grow assets across our platform.</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Attractive Financial Profile, Supported by Longer Duration Capital Base and Scalable Platform</w:t>
      </w:r>
    </w:p>
    <w:p>
      <w:pPr>
        <w:spacing w:after="0" w:line="22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0"/>
          <w:szCs w:val="20"/>
          <w:color w:val="231F20"/>
        </w:rPr>
        <w:t>We have a scalable business model with two integrated revenue streams: management and advisory fees and performance fees. Our superior value proposition to clients, enabled by our global scale, expertise across private markets asset classes and investment strategies, as well as our research and analytics capabilities, drives strong growth in AUM and AUA, which in turn leads to management and advisory fee growth. Investment returns for our clients provide additional revenue opportunities to us in the form of potential performance fees and investment income.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We believe our revenue model has the following important attributes: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Sustainable and recurring management and advisory fees</w:t>
      </w:r>
    </w:p>
    <w:p>
      <w:pPr>
        <w:spacing w:after="0" w:line="220"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0"/>
          <w:szCs w:val="20"/>
          <w:color w:val="231F20"/>
        </w:rPr>
        <w:t>Our management and advisory fees grew from $235 million in fiscal 2020 to $767 million in fiscal 2025, representing a 27% compounded annual growth rate. We have had a high level of success in retaining our advisory clients with an approximately 95% retention rate since inception.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Highly predictable with strong visibility into near-term growth</w:t>
      </w:r>
    </w:p>
    <w:p>
      <w:pPr>
        <w:spacing w:after="0" w:line="2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231F20"/>
        </w:rPr>
        <w:t>Our SMAs and focused commingled funds typically have an eight to 18-year maturity at inception, including extensions. As of March 31, 2025, we had $24.6 billion of committed but undeployed fee-earning capital, which we expect to generate management fees when deployed or activated.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Diverse</w:t>
      </w:r>
    </w:p>
    <w:p>
      <w:pPr>
        <w:spacing w:after="0" w:line="22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0"/>
          <w:szCs w:val="20"/>
          <w:color w:val="231F20"/>
        </w:rPr>
        <w:t>As of March 31, 2025, we had 460 revenue-generating asset management and advisory programs and therefore are not dependent upon or concentrated in any single investment vehicle or client. For the year ended March 31, 2025, no single client contributed more than 5% of our total management and advisory fees, and our top 10 clients, which comprise over 60 separate mandates and commitments to commingled funds, contributed approximately 20% of our total management and advisory fees.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Upside from performance 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As of March 31, 2025, we had over 225 investment programs with the potential to earn performance fees, consisting of over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$95 billion in committed capital. As of March 31, 2025, our accrued carried interest allocations balance, which we view as a backlog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future carried interest allocation revenue, was $1,496 million. Approximately 75% of current accrued carried interest allocations is from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StepStone Fund vintages of 2019 or prior.</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Led by a Seasoned Team of Professionals Whose Interests Are Aligned with Clients and Our Stockholders</w:t>
      </w:r>
    </w:p>
    <w:p>
      <w:pPr>
        <w:spacing w:after="0" w:line="220"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231F20"/>
        </w:rPr>
        <w:t>We believe our biggest asset is our people, and therefore we focus on consistently recruiting the best people, many of whom are proven leaders in their areas of expertise. As of April 1, 2025, 108 partners led the firm, with an average of over 20 years of investment or industry experience. As of March 31, 2025, nearly two-thirds of our employees have equity interests in us in the form of direct equity interests and/or restricted stock units under our 2020 Long-Term Incentive Plan (“LTIP”), and more than 200 employees are eligible to participate in our carried interest allocations in one or more of the asset classes.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Strategic Priorities</w:t>
      </w:r>
    </w:p>
    <w:p>
      <w:pPr>
        <w:spacing w:after="0" w:line="220"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231F20"/>
        </w:rPr>
        <w:t>We aim to leverage our core principles and values that have guided us since inception to continue to grow our business, using the following key strategies: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Continue to Grow with Existing Clients</w:t>
      </w:r>
    </w:p>
    <w:p>
      <w:pPr>
        <w:spacing w:after="0" w:line="229" w:lineRule="exact"/>
        <w:rPr>
          <w:sz w:val="20"/>
          <w:szCs w:val="20"/>
          <w:color w:val="auto"/>
        </w:rPr>
      </w:pPr>
    </w:p>
    <w:p>
      <w:pPr>
        <w:jc w:val="both"/>
        <w:ind w:right="200" w:firstLine="648"/>
        <w:spacing w:after="0" w:line="260" w:lineRule="auto"/>
        <w:rPr>
          <w:sz w:val="20"/>
          <w:szCs w:val="20"/>
          <w:color w:val="auto"/>
        </w:rPr>
      </w:pPr>
      <w:r>
        <w:rPr>
          <w:rFonts w:ascii="Times New Roman" w:cs="Times New Roman" w:eastAsia="Times New Roman" w:hAnsi="Times New Roman"/>
          <w:sz w:val="20"/>
          <w:szCs w:val="20"/>
          <w:i w:val="1"/>
          <w:iCs w:val="1"/>
          <w:color w:val="231F20"/>
        </w:rPr>
        <w:t>Expand existing client mandates</w:t>
      </w:r>
      <w:r>
        <w:rPr>
          <w:rFonts w:ascii="Times New Roman" w:cs="Times New Roman" w:eastAsia="Times New Roman" w:hAnsi="Times New Roman"/>
          <w:sz w:val="20"/>
          <w:szCs w:val="20"/>
          <w:color w:val="231F20"/>
        </w:rPr>
        <w:t>. As a customized solutions provider, we spend significant time listening to the challenges that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clients face and responding by creating solutions to meet their needs. In addition, we believe our existing clients have a growing asset base and are expanding allocations to private markets investments. As a result, we believe a large portion of our growth will come from existing clients through renewals and expansion of existing mandates with us.</w:t>
      </w:r>
    </w:p>
    <w:p>
      <w:pPr>
        <w:spacing w:after="0" w:line="164" w:lineRule="exact"/>
        <w:rPr>
          <w:sz w:val="20"/>
          <w:szCs w:val="20"/>
          <w:color w:val="auto"/>
        </w:rPr>
      </w:pPr>
    </w:p>
    <w:p>
      <w:pPr>
        <w:ind w:right="120" w:firstLine="648"/>
        <w:spacing w:after="0" w:line="287" w:lineRule="auto"/>
        <w:rPr>
          <w:sz w:val="20"/>
          <w:szCs w:val="20"/>
          <w:color w:val="auto"/>
        </w:rPr>
      </w:pPr>
      <w:r>
        <w:rPr>
          <w:rFonts w:ascii="Times New Roman" w:cs="Times New Roman" w:eastAsia="Times New Roman" w:hAnsi="Times New Roman"/>
          <w:sz w:val="20"/>
          <w:szCs w:val="20"/>
          <w:i w:val="1"/>
          <w:iCs w:val="1"/>
          <w:color w:val="231F20"/>
        </w:rPr>
        <w:t>Deploy already raised committed capital</w:t>
      </w:r>
      <w:r>
        <w:rPr>
          <w:rFonts w:ascii="Times New Roman" w:cs="Times New Roman" w:eastAsia="Times New Roman" w:hAnsi="Times New Roman"/>
          <w:sz w:val="20"/>
          <w:szCs w:val="20"/>
          <w:color w:val="231F20"/>
        </w:rPr>
        <w:t>. As of March 31, 2025, we had $24.6 billion of capital not yet deployed across our various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investment vehicles, which we expect to generate management fees when invested or activated.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Add New Clients Globally</w:t>
      </w:r>
    </w:p>
    <w:p>
      <w:pPr>
        <w:spacing w:after="0" w:line="220"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231F20"/>
        </w:rPr>
        <w:t>Over the past decade, we have invested in and grown both our in-house and third-party distribution networks. Our local business development professionals lead conversations with potential local clients.</w:t>
      </w:r>
    </w:p>
    <w:p>
      <w:pPr>
        <w:spacing w:after="0" w:line="14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231F20"/>
        </w:rPr>
        <w:t>We believe that geographically and economically diverse U.S. and non-U.S. investors will require a highly bespoke approach and will demand high levels of transparency, governance and reporting. We have seen this pattern developing across many geographies, including Europe, the Middle East, Latin America, Australia, Japan, South Korea, Southeast Asia and China, and have positioned ourselves to take advantage of it by establishing local presence with global investment capabilities. We believe our global footprint places us in a favorable position to tap the global pools of demand for private markets.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Continue to Expand Our Distribution Channel for Private Wealth Clients</w:t>
      </w:r>
    </w:p>
    <w:p>
      <w:pPr>
        <w:spacing w:after="0" w:line="23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0"/>
          <w:szCs w:val="20"/>
          <w:color w:val="231F20"/>
        </w:rPr>
        <w:t>Many high-net-worth and mass affluent individual investors continue to have difficulty accessing private markets investment opportunities because of a lack of products currently available that satisfy regulatory and structural requirements related to liquidity, transparency and administration. StepStone Private Wealth LLC (“SPW”) is designed to expand access to the private markets for individual investors.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Leverage Our Scale to Enhance Operating Margins</w:t>
      </w:r>
    </w:p>
    <w:p>
      <w:pPr>
        <w:spacing w:after="0" w:line="233"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0"/>
          <w:szCs w:val="20"/>
          <w:color w:val="231F20"/>
        </w:rPr>
        <w:t>Since inception we have made significant investments in our platform infrastructure through building out our investment and implementation teams across geographies and asset classes and developing technology-enabled solutions. We believe we have scaled the personnel and infrastructure of our business to support significant growth in our client base across our existing investment offerings, positioning us well to continue to drive operating margin improvement.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Monetize Our Data and Analytics Capabilities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Our proprietary database, SPI Research, provides access to valuable data that forms the cornerstone of our investing process. We license SPI Research to clients in the form of a traditional licensed offering as well as an “advisory-like” service where we offer the SPI Research license and limited advisory-type support from our team. This has allowed us to support the private markets activities of clients that are too small to participate in our full-service advisory offerings. SPI Reporting and SPI Research both allow users to leverage our research data, further enhancing our client experience and services. We also strategically use SPI Research and SPI Reporting as a competitive product bundle, for example, by providing both offerings to clients to secure more comprehensive mandates.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Pursue Accretive Transactions to Complement Our Platform</w:t>
      </w:r>
    </w:p>
    <w:p>
      <w:pPr>
        <w:spacing w:after="0" w:line="22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231F20"/>
        </w:rPr>
        <w:t>We may complement our strong organic growth with selective strategic and tactical acquisitions. We intend to remain highly disciplined in our development strategy to help ensure that we are allocating management time and our capital in the most productive areas to fuel growth. Our strategy will continue to focus on opportunities that expand our scale in existing markets, add complementary capabilities, enhance distribution, or provide access to new markets.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Investment Strategies</w:t>
      </w:r>
    </w:p>
    <w:p>
      <w:pPr>
        <w:spacing w:after="0" w:line="22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0"/>
          <w:szCs w:val="20"/>
          <w:color w:val="231F20"/>
        </w:rPr>
        <w:t>We offer customized solutions across the global private markets through synergistic investment strategies – primary fund investments, secondary investments, and co-investments. StepStone constructs solutions across all three investment strategies for each asset class – private equity, infrastructure, private debt and real estate. Being an active investor across all investment strategies provides us with meaningful insights into fund managers, their portfolios, return characteristics and direct investment opportunities.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Primaries</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Primaries refer to investments in newly established private markets funds. Primary investments are made during an initial fundraising period in the form of capital commitments, which are called down by the fund from time to time and utilized to finance its investments in portfolio companies during a predefined period. A private markets fund’s return profile typically exhibits a “J-Curve,” undergoing a modest decline in the early portion of the fund’s lifecycle as investment-related expenses and fees accrue prior to the realization of investment gains from portfolio investments, with the trend typically reversing in the later portion of the fund’s lifecycle as portfolio investments are sold and gains from investments are realized and distributed.</w:t>
      </w:r>
    </w:p>
    <w:p>
      <w:pPr>
        <w:spacing w:after="0" w:line="192"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231F20"/>
        </w:rPr>
        <w:t>Primaries are generally closed-end funds and only accept new capital commitments during a finite period. Private equity, real estate and infrastructure primary investment funds typically range in duration from 10 to 18 years, including extensions, while private debt primary investment funds typically range in duration from eight to 10 years. Underlying portfolio investments generally have a three to six year range of duration for private equity, with potentially shorter periods for private debt or value-add and opportunistic real estate, and longer for infrastructure. Typically, fund managers will not launch new funds more frequently than every two to four years. Market leaders generally offer multiple primary investment funds each year, but they may not offer funds within a given geography or that pursue a certain strategy in any particular year or in consecutive years. Because of the limited timeframe of opportunity for investment in any given fund, having a well-established relationship with a fund manager is critically important for primary investors.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231F20"/>
        </w:rPr>
        <w:t>Our primaries business seeks out, and invests with, leading fund managers across the private markets asset classes. We aim to build top-performing global private markets portfolios through a research-intensive investment approach and strive to identify fund managers with top-quartile performance through active sourcing and in-depth evaluation, complemented by excellent deal execution. We leverage our SPI Research database to track a large cross section of fund managers and funds globally—irrespective of fundraising cycles.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Secondaries</w:t>
      </w:r>
    </w:p>
    <w:p>
      <w:pPr>
        <w:spacing w:after="0" w:line="2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231F20"/>
        </w:rPr>
        <w:t>Secondaries refer to investments in existing private markets funds, companies, or assets through the acquisition of an existing interest by one investor from another in a negotiated transaction. In so doing, the buyer will agree to take on future funding obligations in exchange for future returns and distributions. Because secondary investments are generally made when an investment is several years into its life, these investments are viewed as more mature.</w:t>
      </w:r>
    </w:p>
    <w:p>
      <w:pPr>
        <w:spacing w:after="0" w:line="187"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231F20"/>
        </w:rPr>
        <w:t>Secondaries have historically generated a high risk-adjusted internal rate of return (“IRR”) relative to other strategies in the private markets. This performance is due, in part, to: (1) the lack of a centralized market, (2) imperfect information among buyers and sellers, (3) wide bid spreads, (4) shorter holding periods, (5) fee mitigation and (6) transactions often priced at a discount to fair value. Unlike primary commitments, secondaries offer visibility into a portfolio of known assets and their historical performance, which can mitigate some of the risk normally associated with primaries. We believe these market dynamics will persist, making secondaries an attractive long-term opportunity for sophisticated investors.</w:t>
      </w:r>
    </w:p>
    <w:p>
      <w:pPr>
        <w:spacing w:after="0" w:line="192"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231F20"/>
        </w:rPr>
        <w:t>Similar to our primaries program, our secondaries program spans all asset classes and leverages our global platform to capitalize on market inefficiencies. We seek to acquire assets through preferential purchase arrangements by proactively sourcing secondary deal flow through our extensive network of relationships with fund managers, clients, intermediaries and other industry participants. We are able to increase the effectiveness of our sourcing efforts by focusing on fund managers managing high quality portfolios that are expected to outperform the market. In addition, we source exclusive deal flow (which we refer to as “advantaged”) by working closely with intermediaries to capture high quality assets that would not be available through auction processes, usually because a fund manager wants to control information flow or client relationships, including by restricting potential buyers to a select group of “pre-approved” replacement clients like our firm.</w:t>
      </w:r>
    </w:p>
    <w:p>
      <w:pPr>
        <w:spacing w:after="0" w:line="182" w:lineRule="exact"/>
        <w:rPr>
          <w:sz w:val="20"/>
          <w:szCs w:val="20"/>
          <w:color w:val="auto"/>
        </w:rPr>
      </w:pPr>
    </w:p>
    <w:p>
      <w:pPr>
        <w:ind w:right="300" w:firstLine="648"/>
        <w:spacing w:after="0" w:line="310" w:lineRule="auto"/>
        <w:rPr>
          <w:sz w:val="20"/>
          <w:szCs w:val="20"/>
          <w:color w:val="auto"/>
        </w:rPr>
      </w:pPr>
      <w:r>
        <w:rPr>
          <w:rFonts w:ascii="Times New Roman" w:cs="Times New Roman" w:eastAsia="Times New Roman" w:hAnsi="Times New Roman"/>
          <w:sz w:val="19"/>
          <w:szCs w:val="19"/>
          <w:color w:val="231F20"/>
        </w:rPr>
        <w:t>Our global platform provides for deep market coverage and consistently sources proprietary transaction opportunities. We believe proprietary and advantaged deal flow has been a critical factor in our ability to purchase high quality assets at below market prices.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Co-investments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Co-investments involve directly acquiring an equity interest or a debt instrument of an operating company, project or property alongside an investment by a fund manager or direct investor that leads the transaction. We participate in co-investments across each of our asset classes. Co-investments are generally structured such that the lead and co-investors collectively hold the same security on the same terms in a controlling equity interest or a debt instrument of the operating company, project or property. Capital committed to a co-investment is typically invested immediately, thereby advancing the timing of expected returns on investment and creating more predictable cash flows for the investor.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We employ a flexible approach to co-investing, which makes us an attractive co-investor for fund managers. Our ability to co-invest and participate on a pre-signing basis helps us expand the number of available opportunities and secure larger co-investment allocations. We have the ability to participate in non-traditional co-investments, such as helping to fund add-on acquisitions when a fund manager has already reached its concentration limits in its fund. This further expands our investment opportunities and differentiates us from other co-investors, thereby leading to future opportunities with fund managers.</w:t>
      </w:r>
    </w:p>
    <w:p>
      <w:pPr>
        <w:spacing w:after="0" w:line="192" w:lineRule="exact"/>
        <w:rPr>
          <w:sz w:val="20"/>
          <w:szCs w:val="20"/>
          <w:color w:val="auto"/>
        </w:rPr>
      </w:pPr>
    </w:p>
    <w:p>
      <w:pPr>
        <w:jc w:val="both"/>
        <w:ind w:right="500" w:firstLine="648"/>
        <w:spacing w:after="0" w:line="261" w:lineRule="auto"/>
        <w:rPr>
          <w:sz w:val="20"/>
          <w:szCs w:val="20"/>
          <w:color w:val="auto"/>
        </w:rPr>
      </w:pPr>
      <w:r>
        <w:rPr>
          <w:rFonts w:ascii="Times New Roman" w:cs="Times New Roman" w:eastAsia="Times New Roman" w:hAnsi="Times New Roman"/>
          <w:sz w:val="20"/>
          <w:szCs w:val="20"/>
          <w:color w:val="231F20"/>
        </w:rPr>
        <w:t>Our co-investment program benefits from the access to fund managers we have through our scale and the approximately 5,600 meetings and calls that we conduct with fund managers on an annual basis. In each of these meetings and calls, we follow a protocol of inquiring about co-investments and monitoring compliance with the protocol through an automated tracking system.</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Portfolio Analytics and Reporting</w:t>
      </w:r>
    </w:p>
    <w:p>
      <w:pPr>
        <w:spacing w:after="0" w:line="233"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231F20"/>
        </w:rPr>
        <w:t>We provide our clients with tailored reporting packages, including customized performance benchmarks as well as compliance, administration and tax capabilities. The team of professionals dedicated to SPAR is organized by sector and geography to promote deep coverage of all private markets, facilitating detailed investment review and analysis services by private markets specialists. Once an investment has been made, our SPAR team provides active, ongoing analytical review for portfolio risk management for our clients. As part of our ongoing manager and portfolio performance analyses, our portfolio analytics and reporting practice completes reviews for our clients including:</w:t>
      </w:r>
    </w:p>
    <w:p>
      <w:pPr>
        <w:spacing w:after="0" w:line="192"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portfolio benchmarking for relative performance;</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diversification analysis to identify concentration risks or portfolio allocation opportunities;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fund manager performance to understand where additional capital should be directed; and</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valuation analysis to determine which fund managers are appropriately reflecting risk in their reporting.</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0"/>
          <w:szCs w:val="20"/>
          <w:color w:val="231F20"/>
        </w:rPr>
        <w:t>Fund managers’ information is entered into SPI Reporting, our proprietary, web-based application and database for private market portfolio analytics and reporting. Data are reconciled daily to help ensure data integrity and that pertinent details are entered correctly. In order to be included in SPI Reporting, a fund manager must send us sufficient materials, including specific data fields required by us. Performance data monitored by SPI Reporting is available back to 1971.</w:t>
      </w:r>
    </w:p>
    <w:p>
      <w:pPr>
        <w:spacing w:after="0" w:line="172"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231F20"/>
        </w:rPr>
        <w:t>SPI Reporting supports investment monitoring and portfolio management and enhances transparency by providing users with a fast and intuitive user interface and web-based access to portfolio data. SPI Reporting users can access all of the data tracked by SPAR, including daily cash flow activity, quarterly valuations, and underlying asset-level detail, and have fully integrated access to our SPI by StepStone platform. SPI Reporting users can analyze investment-level and underlying asset-level performance by custom investment attributes, apply data filters, run grouped or granular reports while also having the ability to easily export these analyses. Users also have the ability to edit, run and export various portfolio analytics, including analyzing various return and preference metrics commonly used in the investment industry, such as return J-Curve, cash flow activity over time, multi-period internal rates of return and time-weighted rate of return.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Investment Risk Management</w:t>
      </w:r>
    </w:p>
    <w:p>
      <w:pPr>
        <w:spacing w:after="0" w:line="220"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0"/>
          <w:szCs w:val="20"/>
          <w:color w:val="231F20"/>
        </w:rPr>
        <w:t>We have an investment risk management function overseen by our Head of Research and Portfolio Management and our Head of Risk. Additionally, taking into account the nature, scale and complexity of our business, we have a Portfolio and Risk Management Committee for each of our asset classes and additional policies and procedures to give effect to local regulations in jurisdictions around the world. Our risk management process focuses on risk identification, measurement, treatment/mitigation, monitoring and management/reporting, with particular risk assessments tailored by asset class and individual client.</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Responsible Investment</w:t>
      </w:r>
    </w:p>
    <w:p>
      <w:pPr>
        <w:spacing w:after="0" w:line="23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231F20"/>
        </w:rPr>
        <w:t>Responsible investment (“RI”) is a core tenet of our investment philosophy. We believe that the integration of RI factors in our investment process can improve long-term, risk-adjusted returns for our clients and stakeholders. We aim to continually improve and evolve our practices. As part of our RI journey, we:</w:t>
      </w:r>
    </w:p>
    <w:p>
      <w:pPr>
        <w:spacing w:after="0" w:line="181"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signatory to the United Nations Principles for Responsible Investment (“UNPRI”) in 2013;</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Adopted a Responsible Investment policy in 2014, which is reviewed annually;</w:t>
      </w:r>
    </w:p>
    <w:p>
      <w:pPr>
        <w:spacing w:after="0" w:line="229" w:lineRule="exact"/>
        <w:rPr>
          <w:rFonts w:ascii="Times New Roman" w:cs="Times New Roman" w:eastAsia="Times New Roman" w:hAnsi="Times New Roman"/>
          <w:sz w:val="20"/>
          <w:szCs w:val="20"/>
          <w:color w:val="231F20"/>
        </w:rPr>
      </w:pPr>
    </w:p>
    <w:p>
      <w:pPr>
        <w:ind w:left="660" w:right="20" w:hanging="328"/>
        <w:spacing w:after="0" w:line="269" w:lineRule="auto"/>
        <w:tabs>
          <w:tab w:leader="none" w:pos="648"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member of the Sustainability Accounting Standards Board (“SASB”) and enhanced our governance framework by creating asset class RI workgroups in 2019;</w:t>
      </w:r>
    </w:p>
    <w:p>
      <w:pPr>
        <w:spacing w:after="0" w:line="172" w:lineRule="exact"/>
        <w:rPr>
          <w:rFonts w:ascii="Times New Roman" w:cs="Times New Roman" w:eastAsia="Times New Roman" w:hAnsi="Times New Roman"/>
          <w:sz w:val="20"/>
          <w:szCs w:val="20"/>
          <w:color w:val="231F20"/>
        </w:rPr>
      </w:pPr>
    </w:p>
    <w:p>
      <w:pPr>
        <w:ind w:left="660" w:right="260" w:hanging="328"/>
        <w:spacing w:after="0" w:line="283" w:lineRule="auto"/>
        <w:tabs>
          <w:tab w:leader="none" w:pos="648"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member of the GRESB and a founding signatory to the Institutional Limited Partners Association (“ILPA”) Diversity in Action initiative in 2020;</w:t>
      </w:r>
    </w:p>
    <w:p>
      <w:pPr>
        <w:spacing w:after="0" w:line="146" w:lineRule="exact"/>
        <w:rPr>
          <w:rFonts w:ascii="Times New Roman" w:cs="Times New Roman" w:eastAsia="Times New Roman" w:hAnsi="Times New Roman"/>
          <w:sz w:val="20"/>
          <w:szCs w:val="20"/>
          <w:color w:val="231F20"/>
        </w:rPr>
      </w:pPr>
    </w:p>
    <w:p>
      <w:pPr>
        <w:ind w:left="660" w:right="180" w:hanging="328"/>
        <w:spacing w:after="0" w:line="283" w:lineRule="auto"/>
        <w:tabs>
          <w:tab w:leader="none" w:pos="648"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Implemented a standalone climate policy and incorporated Task Force on Climate Related Financial Disclosures (“TCFD”) aligned climate considerations within our investment process and our approach to corporate sustainability reporting in 2022;</w:t>
      </w:r>
    </w:p>
    <w:p>
      <w:pPr>
        <w:spacing w:after="0" w:line="146" w:lineRule="exact"/>
        <w:rPr>
          <w:rFonts w:ascii="Times New Roman" w:cs="Times New Roman" w:eastAsia="Times New Roman" w:hAnsi="Times New Roman"/>
          <w:sz w:val="20"/>
          <w:szCs w:val="20"/>
          <w:color w:val="231F20"/>
        </w:rPr>
      </w:pPr>
    </w:p>
    <w:p>
      <w:pPr>
        <w:ind w:left="660" w:right="420" w:hanging="328"/>
        <w:spacing w:after="0" w:line="283" w:lineRule="auto"/>
        <w:tabs>
          <w:tab w:leader="none" w:pos="648"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founding financial services member supporting Ownership Works in 2022, a consortium of organizations dedicated to promoting employee ownership programs; and</w:t>
      </w:r>
    </w:p>
    <w:p>
      <w:pPr>
        <w:spacing w:after="0" w:line="159" w:lineRule="exact"/>
        <w:rPr>
          <w:rFonts w:ascii="Times New Roman" w:cs="Times New Roman" w:eastAsia="Times New Roman" w:hAnsi="Times New Roman"/>
          <w:sz w:val="20"/>
          <w:szCs w:val="20"/>
          <w:color w:val="231F20"/>
        </w:rPr>
      </w:pPr>
    </w:p>
    <w:p>
      <w:pPr>
        <w:ind w:left="660" w:right="20" w:hanging="328"/>
        <w:spacing w:after="0" w:line="269" w:lineRule="auto"/>
        <w:tabs>
          <w:tab w:leader="none" w:pos="648"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Implemented a standalone stewardship policy in 2022 reflecting our continued emphasis on stewardship practices in our investments. Accepted as a signatory to the UK Stewardship Code in 2023 and again in 2024.</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Responsible Investment in the Investment Process</w:t>
      </w:r>
    </w:p>
    <w:p>
      <w:pPr>
        <w:spacing w:after="0" w:line="22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0"/>
          <w:szCs w:val="20"/>
          <w:color w:val="231F20"/>
        </w:rPr>
        <w:t>Composed of leaders from across our organization, the Responsible Investment Committee provides oversight and direction for our responsible investment process. Among other things, it reviews RI due diligence within our investment memoranda before they are submitted to the relevant Investment Committee.</w:t>
      </w:r>
    </w:p>
    <w:p>
      <w:pPr>
        <w:spacing w:after="0" w:line="161" w:lineRule="exact"/>
        <w:rPr>
          <w:sz w:val="20"/>
          <w:szCs w:val="20"/>
          <w:color w:val="auto"/>
        </w:rPr>
      </w:pPr>
    </w:p>
    <w:p>
      <w:pPr>
        <w:ind w:right="360" w:firstLine="648"/>
        <w:spacing w:after="0" w:line="283" w:lineRule="auto"/>
        <w:rPr>
          <w:sz w:val="20"/>
          <w:szCs w:val="20"/>
          <w:color w:val="auto"/>
        </w:rPr>
      </w:pPr>
      <w:r>
        <w:rPr>
          <w:rFonts w:ascii="Times New Roman" w:cs="Times New Roman" w:eastAsia="Times New Roman" w:hAnsi="Times New Roman"/>
          <w:sz w:val="20"/>
          <w:szCs w:val="20"/>
          <w:color w:val="231F20"/>
        </w:rPr>
        <w:t>Our RI due diligence process is applied in each asset class and strategy and incorporated into the broader business, financial, and operational diligence process — detailing material RI considerations that could drive value creation or risk mitigation.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Primary Investments</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231F20"/>
        </w:rPr>
        <w:t>For primary investments, we perform a review of each fund manager and fund’s RI policy, implementation and monitoring framework. We evaluate the level of commitment, accountability and leadership engagement across the fund manager. We seek to understand how aligned their RI processes are to established external frameworks and how specific material risks and opportunities are considered, including climate and modern slavery (e.g., forced labor, child labor, and human trafficking). Further, we evaluate their RI monitoring and reporting systems. Where relevant, for impact strategies, we layer on an additional layer of due diligence focused on the quality of the fund manager’s impact practices.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Co-investments</w:t>
      </w:r>
    </w:p>
    <w:p>
      <w:pPr>
        <w:spacing w:after="0" w:line="22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231F20"/>
        </w:rPr>
        <w:t>With respect to our co-investments, we complete an RI assessment at both the manager and asset level. We use several tools to complete the latter, including information from the manager and company, along with industry-specific SASB materiality standards, and for specific sectors information from GRESB. Post investment, we monitor the co-investment’s performance focusing on material financial and RI factors. The majority of this monitoring is conducted through regular engagement with the fund manager supplemented by Limited Partner Advisory Committees of which we are a member. In cases where we hold a board or observer seat at the fund, we seek to be active in advocating for material issues as standard agenda items.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Secondaries</w:t>
      </w:r>
    </w:p>
    <w:p>
      <w:pPr>
        <w:spacing w:after="0" w:line="233"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231F20"/>
        </w:rPr>
        <w:t>With respect to secondary transactions, we utilize primary RI assessments where available, along with an evaluation of the RI risk and opportunities of the key, value-driving assets. Due diligence timelines are often compressed for secondary transactions. As such, our platform creates a significant advantage due to the breadth of information we typically already have on the fund manager in a secondary transaction.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Impact</w:t>
      </w:r>
    </w:p>
    <w:p>
      <w:pPr>
        <w:spacing w:after="0" w:line="2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231F20"/>
        </w:rPr>
        <w:t>We have observed that investors globally are increasingly focused on the real-world outcomes of their investment programs, typically referred to as impact investing. We look to work with clients in crafting customized investment programs that target commercial returns while investing in certain impact or thematic investment opportunities such as climate change, nature and biodiversity, and the United Nations’ Sustainable Development Goals.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Corporate Sustainability</w:t>
      </w:r>
    </w:p>
    <w:p>
      <w:pPr>
        <w:spacing w:after="0" w:line="233"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231F20"/>
        </w:rPr>
        <w:t>Corporate sustainability considerations are relevant in our operational decision making and internal policies. Our key focus areas are managing our emissions profile and monitoring our supply chain for modern slavery.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Managing Our Emissions Profile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We are focused on the firm’s emissions profile as we seek to maintain carbon neutrality within our operations as a stated firm goal.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such, the following efforts have been undertaken:</w:t>
      </w:r>
    </w:p>
    <w:p>
      <w:pPr>
        <w:spacing w:after="0" w:line="200" w:lineRule="exact"/>
        <w:rPr>
          <w:sz w:val="20"/>
          <w:szCs w:val="20"/>
          <w:color w:val="auto"/>
        </w:rPr>
      </w:pPr>
    </w:p>
    <w:p>
      <w:pPr>
        <w:ind w:left="660" w:right="200" w:hanging="328"/>
        <w:spacing w:after="0" w:line="268" w:lineRule="auto"/>
        <w:tabs>
          <w:tab w:leader="none" w:pos="648"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Since 2019, engaged a consultant on an annual basis to conduct a comprehensive carbon footprint measurement and analysis of our operations. Based on this analysis, we have funded several sustainable development projects to offset our carbon emissions and achieve carbon neutral status within our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80" w:hanging="328"/>
        <w:spacing w:after="0" w:line="254" w:lineRule="auto"/>
        <w:tabs>
          <w:tab w:leader="none" w:pos="648"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Implementing tailored carbon reduction initiatives across our global offices, including recycling protocols, transitioning to electronic tablets during meetings and encouraging a “paperless” approach where practicable. As part of our vendor due diligence process, we have added specific climate-related queries to help us understand and evaluate vendor environmental efforts, such as whether they measure their carbon footprint and have initiatives in place to minimize or offset emissions; and</w:t>
      </w:r>
    </w:p>
    <w:p>
      <w:pPr>
        <w:spacing w:after="0" w:line="187" w:lineRule="exact"/>
        <w:rPr>
          <w:rFonts w:ascii="Times New Roman" w:cs="Times New Roman" w:eastAsia="Times New Roman" w:hAnsi="Times New Roman"/>
          <w:sz w:val="20"/>
          <w:szCs w:val="20"/>
          <w:color w:val="231F20"/>
        </w:rPr>
      </w:pPr>
    </w:p>
    <w:p>
      <w:pPr>
        <w:ind w:left="660" w:right="220" w:hanging="328"/>
        <w:spacing w:after="0" w:line="283" w:lineRule="auto"/>
        <w:tabs>
          <w:tab w:leader="none" w:pos="648"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Prioritizing selection of highly rated Leadership in Energy and Environmental Design (“LEED”) or comparable standard in leasing office space.</w:t>
      </w:r>
    </w:p>
    <w:p>
      <w:pPr>
        <w:spacing w:after="0" w:line="142" w:lineRule="exact"/>
        <w:rPr>
          <w:rFonts w:ascii="Times New Roman" w:cs="Times New Roman" w:eastAsia="Times New Roman" w:hAnsi="Times New Roman"/>
          <w:sz w:val="20"/>
          <w:szCs w:val="20"/>
          <w:color w:val="231F20"/>
        </w:rPr>
      </w:pPr>
    </w:p>
    <w:p>
      <w:pPr>
        <w:ind w:left="66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Modern Slavery</w:t>
      </w:r>
    </w:p>
    <w:p>
      <w:pPr>
        <w:spacing w:after="0" w:line="23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0"/>
          <w:szCs w:val="20"/>
          <w:color w:val="231F20"/>
        </w:rPr>
        <w:t>We have processes in place to address the applicable regulatory obligations in certain jurisdictions where we operate related to modern slavery, which encompass forced labor, human trafficking, and child labor. Within our vendor due diligence process, we query and evaluate for this topic seeking to identify any substantive supply chain risks. Further, to align with applicable regulations, this topic is also considered within our investment due diligence and monitoring processes.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Our Clients</w:t>
      </w:r>
    </w:p>
    <w:p>
      <w:pPr>
        <w:spacing w:after="0" w:line="233"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231F20"/>
        </w:rPr>
        <w:t>We believe the value proposition we offer across our asset management, advisory, data, portfolio monitoring and reporting services has resulted in strong relationships with our clients. Our client base includes some of the world’s largest public and private pension funds, sovereign wealth funds and insurance companies, as well as prominent endowments, foundations, family offices and private wealth clients, which include high-net-worth and mass affluent individuals globally. During the year ended March 31, 2025, more than half of our management and advisory fees came from clients based outside of the United States, reflecting the strength and breadth of our relationships within the global investor community.</w:t>
      </w:r>
    </w:p>
    <w:p>
      <w:pPr>
        <w:spacing w:after="0" w:line="1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231F20"/>
        </w:rPr>
        <w:t>We believe the stability of our client base, reflecting in part the longer tenor of our SMAs and focused commingled funds, reflects the strength of the long-term client relationships we have developed. We have also had a high level of success in retaining our advisory clients with an approximately 95% retention rate since inception. At the same time, we believe we have been successful in expanding relationships with our clients, often expanding from advisory relationships to discretionary asset management relationships. Approximately 34% of our clients engage us for both asset management and advisory services.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Private Wealth Sector Strategy</w:t>
      </w:r>
    </w:p>
    <w:p>
      <w:pPr>
        <w:spacing w:after="0" w:line="23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231F20"/>
        </w:rPr>
        <w:t>We have served defined contribution plans, family offices and private wealth clients for over 10 years, and have more recently expanded to delivering our institutional capabilities to high-net-worth and mass affluent investors. Our platform leverages our deep expertise across private equity (including venture capital), infrastructure, private debt and real estate to develop and distribute innovative products for individual investors, integrating primaries, secondaries and co-investments to create customized product solutions for the private wealth sector. Our solutions include:</w:t>
      </w:r>
    </w:p>
    <w:p>
      <w:pPr>
        <w:spacing w:after="0" w:line="192"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SMAs spanning multiple asset classes and strategies for defined contribution plans with long-term investment objectives;</w:t>
      </w:r>
    </w:p>
    <w:p>
      <w:pPr>
        <w:spacing w:after="0" w:line="215" w:lineRule="exact"/>
        <w:rPr>
          <w:rFonts w:ascii="Times New Roman" w:cs="Times New Roman" w:eastAsia="Times New Roman" w:hAnsi="Times New Roman"/>
          <w:sz w:val="20"/>
          <w:szCs w:val="20"/>
          <w:color w:val="auto"/>
        </w:rPr>
      </w:pPr>
    </w:p>
    <w:p>
      <w:pPr>
        <w:ind w:left="660" w:right="520" w:hanging="328"/>
        <w:spacing w:after="0" w:line="283"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private wealth solutions for registered investment advisors, independent broker dealers and wirehouses in the United States and wealth managers internationally;</w:t>
      </w:r>
    </w:p>
    <w:p>
      <w:pPr>
        <w:spacing w:after="0" w:line="15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registered funds available to mass affluent individual investors in the United States; 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2680" w:hanging="328"/>
        <w:spacing w:after="0" w:line="494" w:lineRule="auto"/>
        <w:tabs>
          <w:tab w:leader="none" w:pos="64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global distribution of our institutional funds to family office investors and high-net-worth investors. Our Private Wealth funds offer the following areas of differentiation to potential investors:</w:t>
      </w:r>
    </w:p>
    <w:p>
      <w:pPr>
        <w:spacing w:after="0" w:line="1" w:lineRule="exact"/>
        <w:rPr>
          <w:rFonts w:ascii="Times New Roman" w:cs="Times New Roman" w:eastAsia="Times New Roman" w:hAnsi="Times New Roman"/>
          <w:sz w:val="19"/>
          <w:szCs w:val="19"/>
          <w:color w:val="auto"/>
        </w:rPr>
      </w:pPr>
    </w:p>
    <w:p>
      <w:pPr>
        <w:ind w:left="660" w:right="360" w:hanging="328"/>
        <w:spacing w:after="0" w:line="273" w:lineRule="auto"/>
        <w:tabs>
          <w:tab w:leader="none" w:pos="648"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Favorable structure</w:t>
      </w:r>
      <w:r>
        <w:rPr>
          <w:rFonts w:ascii="Times New Roman" w:cs="Times New Roman" w:eastAsia="Times New Roman" w:hAnsi="Times New Roman"/>
          <w:sz w:val="20"/>
          <w:szCs w:val="20"/>
          <w:color w:val="231F20"/>
        </w:rPr>
        <w:t>. Our funds are structured to provide 1099 tax reporting instead of K-1s for US investors, a single investment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instead of recurring capital calls, and the potential for periodic liquidity.</w:t>
      </w:r>
    </w:p>
    <w:p>
      <w:pPr>
        <w:spacing w:after="0" w:line="165" w:lineRule="exact"/>
        <w:rPr>
          <w:rFonts w:ascii="Times New Roman" w:cs="Times New Roman" w:eastAsia="Times New Roman" w:hAnsi="Times New Roman"/>
          <w:sz w:val="20"/>
          <w:szCs w:val="20"/>
          <w:color w:val="231F20"/>
        </w:rPr>
      </w:pPr>
    </w:p>
    <w:p>
      <w:pPr>
        <w:ind w:left="660" w:right="360" w:hanging="328"/>
        <w:spacing w:after="0" w:line="287" w:lineRule="auto"/>
        <w:tabs>
          <w:tab w:leader="none" w:pos="648"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Attractive track record and deep knowledge and expertise in private markets</w:t>
      </w:r>
      <w:r>
        <w:rPr>
          <w:rFonts w:ascii="Times New Roman" w:cs="Times New Roman" w:eastAsia="Times New Roman" w:hAnsi="Times New Roman"/>
          <w:sz w:val="20"/>
          <w:szCs w:val="20"/>
          <w:color w:val="231F20"/>
        </w:rPr>
        <w:t>. We have extensive experience investing substantial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capital in the private markets and have generated attractive risk-adjusted returns.</w:t>
      </w:r>
    </w:p>
    <w:p>
      <w:pPr>
        <w:spacing w:after="0" w:line="138" w:lineRule="exact"/>
        <w:rPr>
          <w:rFonts w:ascii="Times New Roman" w:cs="Times New Roman" w:eastAsia="Times New Roman" w:hAnsi="Times New Roman"/>
          <w:sz w:val="20"/>
          <w:szCs w:val="20"/>
          <w:color w:val="231F20"/>
        </w:rPr>
      </w:pPr>
    </w:p>
    <w:p>
      <w:pPr>
        <w:ind w:left="660" w:right="300" w:hanging="328"/>
        <w:spacing w:after="0" w:line="287" w:lineRule="auto"/>
        <w:tabs>
          <w:tab w:leader="none" w:pos="648"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Proprietary database and insights</w:t>
      </w:r>
      <w:r>
        <w:rPr>
          <w:rFonts w:ascii="Times New Roman" w:cs="Times New Roman" w:eastAsia="Times New Roman" w:hAnsi="Times New Roman"/>
          <w:sz w:val="20"/>
          <w:szCs w:val="20"/>
          <w:color w:val="231F20"/>
        </w:rPr>
        <w:t>. Our proprietary SPI by StepStone system represents one of the industry’s most comprehensive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powerful databases.</w:t>
      </w:r>
    </w:p>
    <w:p>
      <w:pPr>
        <w:spacing w:after="0" w:line="138" w:lineRule="exact"/>
        <w:rPr>
          <w:rFonts w:ascii="Times New Roman" w:cs="Times New Roman" w:eastAsia="Times New Roman" w:hAnsi="Times New Roman"/>
          <w:sz w:val="20"/>
          <w:szCs w:val="20"/>
          <w:color w:val="231F20"/>
        </w:rPr>
      </w:pPr>
    </w:p>
    <w:p>
      <w:pPr>
        <w:ind w:left="660" w:right="920" w:hanging="328"/>
        <w:spacing w:after="0" w:line="287" w:lineRule="auto"/>
        <w:tabs>
          <w:tab w:leader="none" w:pos="648"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Differentiated access</w:t>
      </w:r>
      <w:r>
        <w:rPr>
          <w:rFonts w:ascii="Times New Roman" w:cs="Times New Roman" w:eastAsia="Times New Roman" w:hAnsi="Times New Roman"/>
          <w:sz w:val="20"/>
          <w:szCs w:val="20"/>
          <w:color w:val="231F20"/>
        </w:rPr>
        <w:t>. Given its scale, expertise, and relationships, we have preferred access to top-tier fund managers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proprietary opportunities, including co-investments and secondaries.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Fees and Other Key Contractual Terms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Separately Managed Accounts</w:t>
      </w:r>
    </w:p>
    <w:p>
      <w:pPr>
        <w:spacing w:after="0" w:line="233"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9"/>
          <w:szCs w:val="19"/>
          <w:color w:val="231F20"/>
        </w:rPr>
        <w:t>The scope of our separate account services and degree of client involvement varies by relationship and policy guidelines, but we typically direct or have substantial participation in the negotiation of account terms, investment policy and strategic planning, pacing and ongoing monitoring and reporting activities. We also provide direct asset management services to clients, providing active fiduciary oversight of assets held by our clients, working with clients to establish investment guidelines aligned with their specific preferences and goals.</w:t>
      </w:r>
    </w:p>
    <w:p>
      <w:pPr>
        <w:spacing w:after="0" w:line="156" w:lineRule="exact"/>
        <w:rPr>
          <w:sz w:val="20"/>
          <w:szCs w:val="20"/>
          <w:color w:val="auto"/>
        </w:rPr>
      </w:pPr>
    </w:p>
    <w:p>
      <w:pPr>
        <w:jc w:val="both"/>
        <w:ind w:right="880" w:firstLine="648"/>
        <w:spacing w:after="0" w:line="310" w:lineRule="auto"/>
        <w:rPr>
          <w:sz w:val="20"/>
          <w:szCs w:val="20"/>
          <w:color w:val="auto"/>
        </w:rPr>
      </w:pPr>
      <w:r>
        <w:rPr>
          <w:rFonts w:ascii="Times New Roman" w:cs="Times New Roman" w:eastAsia="Times New Roman" w:hAnsi="Times New Roman"/>
          <w:sz w:val="19"/>
          <w:szCs w:val="19"/>
          <w:color w:val="231F20"/>
        </w:rPr>
        <w:t>Clients seeking a large-scale asset management engagement typically prefer an SMA rather than commitment to a focused commingled fund. SMAs and directly-managed assets represented approximately $115 billion of our AUM as of March 31, 2025.</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Focused Commingled Funds</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231F20"/>
        </w:rPr>
        <w:t>We organize and manage commingled funds that invest in primary, secondary and co-investment funds managed by third-party managers focused in our areas of expertise. Our focused commingled funds invest across a variety of private market strategies, which enables our clients to efficiently participate in these specialized strategies for which they otherwise may not be able to access due to the high minimum investment requirements. Focused commingled funds represented $59 billion of our AUM as of March 31, 2025.</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Key Terms of SMAs and Focused Commingled Funds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Fees</w:t>
      </w:r>
    </w:p>
    <w:p>
      <w:pPr>
        <w:spacing w:after="0" w:line="233" w:lineRule="exact"/>
        <w:rPr>
          <w:sz w:val="20"/>
          <w:szCs w:val="20"/>
          <w:color w:val="auto"/>
        </w:rPr>
      </w:pPr>
    </w:p>
    <w:p>
      <w:pPr>
        <w:ind w:right="180" w:firstLine="648"/>
        <w:spacing w:after="0" w:line="270" w:lineRule="auto"/>
        <w:rPr>
          <w:sz w:val="20"/>
          <w:szCs w:val="20"/>
          <w:color w:val="auto"/>
        </w:rPr>
      </w:pPr>
      <w:r>
        <w:rPr>
          <w:rFonts w:ascii="Times New Roman" w:cs="Times New Roman" w:eastAsia="Times New Roman" w:hAnsi="Times New Roman"/>
          <w:sz w:val="19"/>
          <w:szCs w:val="19"/>
          <w:color w:val="231F20"/>
        </w:rPr>
        <w:t>Management fees from SMAs are generally based on a contractual rate applied to net invested capital, although specific terms vary significantly from client to client and may be based on capital commitment or NAV. Management fees from focused commingled funds are generally based on a contractual rate applied initially to limited partners’ capital commitments, although specific terms vary significantly from fund to fund and may be based on net invested capital or NAV. Management fees often decrease over the life of the contract due to built-in declines in contractual rates and/or as a result of lower net invested capital balances as capital is returned to clients.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Duration and Termination</w:t>
      </w:r>
    </w:p>
    <w:p>
      <w:pPr>
        <w:spacing w:after="0" w:line="22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231F20"/>
        </w:rPr>
        <w:t>SMAs and focused commingled funds are typically eight to 18 years in duration, including extensions, but this varies and may be longer or even indefinite. Our SMAs and focused commingled funds are often subject to extension either at our discretion or, in the case of SMAs, with consent of the client, or in the case of focused commingled funds, with consent of the requisite percentage of limited partners or the advisory committee.</w:t>
      </w:r>
    </w:p>
    <w:p>
      <w:pPr>
        <w:spacing w:after="0" w:line="186"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231F20"/>
        </w:rPr>
        <w:t>The commitment period of our SMAs and our focused commingled funds can typically be suspended upon the occurrence of a key person event. In some cases, the commitment period of our SMAs may be terminated for any reason (typically once per year).</w:t>
      </w:r>
    </w:p>
    <w:p>
      <w:pPr>
        <w:spacing w:after="0" w:line="17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0"/>
          <w:szCs w:val="20"/>
          <w:color w:val="231F20"/>
        </w:rPr>
        <w:t>SMAs typically can be terminated by our clients for specified reasons, but specific terms vary significantly from client to client and certain contracts may be terminated for any reason generally with minimal notice. Our focused commingled funds may generally be terminated for specified reasons and for any reason upon the affirmative vote, depending on the fund, of 50% or more of the total limited partner interests entitled to vote.</w:t>
      </w:r>
    </w:p>
    <w:p>
      <w:pPr>
        <w:spacing w:after="0" w:line="1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231F20"/>
        </w:rPr>
        <w:t>See “Risk Factors—Risks Related to Our Business—Third-party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Capital Commitments</w:t>
      </w:r>
    </w:p>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231F20"/>
        </w:rPr>
        <w:t>Clients in our SMAs and focused commingled funds generally make commitments to provide capital at the outset of a fund and deliver capital when called upon by us, as investment opportunities become available and to fund operational expenses and other obligations. The commitments are generally available for investment for three to six years, during what we call the commitment period, though some SMAs provide for annual commitment periods.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Performance Fees</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231F20"/>
        </w:rPr>
        <w:t>The performance fees charged by our focused commingled funds are generally referred to as “carried interest” while those charged by our SMAs may be structured as carried interest or incentive fees. Our focused commingled funds and SMAs generally charge performance fees equal to a fixed percentage of net profits, subject to a compounded annual preferred return in respect of secondary investments and co-investments, but may also earn performance fees with respect to primaries as well. In some cases, performance fees are charged with respect to appreciation in NAV in excess of an agreed rate of return.</w:t>
      </w:r>
    </w:p>
    <w:p>
      <w:pPr>
        <w:spacing w:after="0" w:line="17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231F20"/>
        </w:rPr>
        <w:t>If, upon the final distribution of any of our focused commingled funds or SMAs from which we earn performance fees, we or our affiliates have received cumulative performance fees in excess of the amount to which we would be entitled from the profits calculated for such investments in the aggregate, or if the clients have not received distributions equal to those to which they are entitled, we or our affiliates will return such part of any performance fees to the clients as is necessary to ensure that they receive the amounts to which they are entitled, less taxes on the performance fees. We refer to these provisions as “clawbacks.”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Advisory and Data Services</w:t>
      </w:r>
    </w:p>
    <w:p>
      <w:pPr>
        <w:spacing w:after="0" w:line="22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231F20"/>
        </w:rPr>
        <w:t>Depending on the mandate, advisory and data services may include one or more of the following for our clients: (i) recurring support 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SPI Research and our other proprietary tools. Mandates for SPAR services typically include licensed access to SPI Reporting, our proprietary web-based performance monitoring and reporting solution. SPI Reporting allows our clients to customize performance measurement and benchmarking according to their unique specifications. Our advisory relationships comprised $520 billion of our AUA and $15 billion of our AUM as of March 31, 2025.</w:t>
      </w:r>
    </w:p>
    <w:p>
      <w:pPr>
        <w:spacing w:after="0" w:line="195"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231F20"/>
        </w:rPr>
        <w:t>Our advisory and data services clients are generally charged annual fixed fees, which vary depending on the services we provide and the volume of capital deployed. We generally do not earn incentive fees on advisory contracts.</w:t>
      </w:r>
    </w:p>
    <w:p>
      <w:pPr>
        <w:spacing w:after="0" w:line="14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231F20"/>
        </w:rPr>
        <w:t>Our advisory and data services contracts have various durations ranging from one year to indefinite terms and renew at the option of the client at the end of the stated term. Advisory and data service contracts can typically be terminated by our clients for any reason upon short notice, generally 30 to 90 days. Advisory and data service contracts with governmental pension plans typically are subject to a renewal process involving our submission of information in response to a request for proposal (“RFP”) issued by the client.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22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231F20"/>
        </w:rPr>
        <w:t xml:space="preserve">We compete in all aspects of our business with a large number of asset management firms, commercial banks, broker-dealers, insurance companies and other financial institutions. With respect to our focused commingled funds, we primarily compete with the private markets management businesses of a number of large international financial institutions and established local and regional competitors based in the United States, Europe and Asia, including managers offering funds-of-funds, secondary funds and co-investment funds in the private markets. Our principal competition for SMAs is mostly other highly specialized and independent private markets asset management firms. We compete primarily in the advisory services area of the business with firms that are regionally based and with a select number of large consulting firms for whom private markets investments is only one, often small, portion of their overall business. </w:t>
      </w:r>
      <w:r>
        <w:rPr>
          <w:rFonts w:ascii="Times New Roman" w:cs="Times New Roman" w:eastAsia="Times New Roman" w:hAnsi="Times New Roman"/>
          <w:sz w:val="20"/>
          <w:szCs w:val="20"/>
          <w:color w:val="221F1F"/>
        </w:rPr>
        <w:t>See “Risk Factors—Risks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221F1F"/>
        </w:rPr>
        <w:t>Related to Our Industry—</w:t>
      </w:r>
      <w:r>
        <w:rPr>
          <w:rFonts w:ascii="Times New Roman" w:cs="Times New Roman" w:eastAsia="Times New Roman" w:hAnsi="Times New Roman"/>
          <w:sz w:val="20"/>
          <w:szCs w:val="20"/>
          <w:color w:val="000000"/>
        </w:rPr>
        <w:t>The investment management and investment advisory business is intensely competitive</w:t>
      </w:r>
      <w:r>
        <w:rPr>
          <w:rFonts w:ascii="Times New Roman" w:cs="Times New Roman" w:eastAsia="Times New Roman" w:hAnsi="Times New Roman"/>
          <w:sz w:val="20"/>
          <w:szCs w:val="20"/>
          <w:color w:val="221F1F"/>
        </w:rPr>
        <w:t>.”</w:t>
      </w:r>
    </w:p>
    <w:p>
      <w:pPr>
        <w:spacing w:after="0" w:line="195"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231F20"/>
        </w:rPr>
        <w:t>In order to grow our business, we must maintain our existing client base and attract additional clients in advisory services, SMA and focused commingled fund areas of the business. Historically, we have competed principally on the basis of the factors listed below:</w:t>
      </w:r>
    </w:p>
    <w:p>
      <w:pPr>
        <w:spacing w:after="0" w:line="146" w:lineRule="exact"/>
        <w:rPr>
          <w:sz w:val="20"/>
          <w:szCs w:val="20"/>
          <w:color w:val="auto"/>
        </w:rPr>
      </w:pPr>
    </w:p>
    <w:p>
      <w:pPr>
        <w:ind w:left="660" w:right="560" w:hanging="328"/>
        <w:spacing w:after="0" w:line="283"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global access to private markets investment opportunities through our size, scale, reputation and strong relationships with fund managers;</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brand recognition and reputation within the investing community;</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performance of investment strategies;</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quality of service and duration of client relationships;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data and analytics capabilities;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ability to customize product offerings to client specifications;</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transparent organizational structure;</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ability to provide cost effective and comprehensive range of services and products; and</w:t>
      </w:r>
    </w:p>
    <w:p>
      <w:pPr>
        <w:spacing w:after="0" w:line="215" w:lineRule="exact"/>
        <w:rPr>
          <w:rFonts w:ascii="Times New Roman" w:cs="Times New Roman" w:eastAsia="Times New Roman" w:hAnsi="Times New Roman"/>
          <w:sz w:val="20"/>
          <w:szCs w:val="20"/>
          <w:color w:val="231F20"/>
        </w:rPr>
      </w:pPr>
    </w:p>
    <w:p>
      <w:pPr>
        <w:ind w:left="660" w:right="340" w:hanging="328"/>
        <w:spacing w:after="0" w:line="283" w:lineRule="auto"/>
        <w:tabs>
          <w:tab w:leader="none" w:pos="648"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clients’ perceptions of our independence and the alignment of our interests with theirs created through our investment in our own products.</w:t>
      </w:r>
    </w:p>
    <w:p>
      <w:pPr>
        <w:spacing w:after="0" w:line="16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The asset management business is intensely competitive, and in addition to the above factors, our ability to continue to compete effectively will depend upon our ability to attract highly qualified investment professionals and retain existing employees. </w:t>
      </w:r>
      <w:r>
        <w:rPr>
          <w:rFonts w:ascii="Times New Roman" w:cs="Times New Roman" w:eastAsia="Times New Roman" w:hAnsi="Times New Roman"/>
          <w:sz w:val="20"/>
          <w:szCs w:val="20"/>
          <w:color w:val="221F1F"/>
        </w:rPr>
        <w:t>See “Risk Factors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221F1F"/>
        </w:rPr>
        <w:t>—Risks Related to Our Business—</w:t>
      </w:r>
      <w:r>
        <w:rPr>
          <w:rFonts w:ascii="Times New Roman" w:cs="Times New Roman" w:eastAsia="Times New Roman" w:hAnsi="Times New Roman"/>
          <w:sz w:val="20"/>
          <w:szCs w:val="20"/>
          <w:color w:val="000000"/>
        </w:rPr>
        <w:t>Our ability to retain our senior leadership team and attract additional qualified professionals is critical to</w:t>
      </w:r>
      <w:r>
        <w:rPr>
          <w:rFonts w:ascii="Times New Roman" w:cs="Times New Roman" w:eastAsia="Times New Roman" w:hAnsi="Times New Roman"/>
          <w:sz w:val="20"/>
          <w:szCs w:val="20"/>
          <w:color w:val="221F1F"/>
        </w:rPr>
        <w:t xml:space="preserve"> </w:t>
      </w:r>
      <w:r>
        <w:rPr>
          <w:rFonts w:ascii="Times New Roman" w:cs="Times New Roman" w:eastAsia="Times New Roman" w:hAnsi="Times New Roman"/>
          <w:sz w:val="20"/>
          <w:szCs w:val="20"/>
          <w:color w:val="000000"/>
        </w:rPr>
        <w:t>our success</w:t>
      </w:r>
      <w:r>
        <w:rPr>
          <w:rFonts w:ascii="Times New Roman" w:cs="Times New Roman" w:eastAsia="Times New Roman" w:hAnsi="Times New Roman"/>
          <w:sz w:val="20"/>
          <w:szCs w:val="20"/>
          <w:color w:val="221F1F"/>
        </w:rPr>
        <w: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Regulatory Environment</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Our business is subject to extensive federal and state regulation in the United States. Under these laws and regulations, the SEC and relevant state securities authorities have broad administrative powers, including the power to limit, restrict or prohibit an investment adviser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adviser and other registrations, censures and fines. We are also subject to regulatory oversight and requirements in several foreign jurisdictions in which we operate.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SEC Regulation</w:t>
      </w:r>
    </w:p>
    <w:p>
      <w:pPr>
        <w:spacing w:after="0" w:line="23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0"/>
          <w:szCs w:val="20"/>
          <w:color w:val="231F20"/>
        </w:rPr>
        <w:t>The Partnership and certain of our other consolidated subsidiaries are registered as investment advisers with the SEC. Registered investment advisers are subject to the requirements of the Investment Advisers Act, and the rules promulgated thereunder, as well as to examination by the SEC’s staff. The Investment Advisers Act imposes substantive regulation on virtually every aspect of our business and our client relationships. Applicable requirements relate to, among other things, fiduciary duties to clients, engaging in transactions with clients, maintaining an effective compliance program, performance fees, solicitation arrangements, marketing materials and marketing, allocation of investments, conflicts of interest, recordkeeping, reporting and disclosure.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Failure to comply with the requirements of the Investment Advisers Act or the rules and regulations promulgated by the SEC thereunder could have a material adverse effect on our business.</w:t>
      </w:r>
    </w:p>
    <w:p>
      <w:pPr>
        <w:spacing w:after="0" w:line="19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231F20"/>
        </w:rPr>
        <w:t>In May 2024, the SEC adopted amendments to Regulation S-P (the privacy regulations applicable to financial institutions, including investment advisers) that will expand the scope of the regulation and mandate notification to clients and customers in the event of privacy breaches. The SEC has also adopted disclosure rules related to cybersecurity applicable to public companies. In addition, the SEC and FinCEN have recently jointly adopted a new rule that will require investment advisers to adopt formal anti-money laundering and customer identification programs by the end of 2025. Bringing our firm into compliance with these new rules (and any others adopted by the SEC), could result in a significant increase in the compliance risks and regulatory burden of operating our business.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231F20"/>
        </w:rPr>
        <w:t>Our SMAs and the majority of our focused commingled funds are not registered under the Investment Company Act because we only form SMAs for, and offer interests in our focused commingled funds to, persons who we reasonably believe to be “qualified purchasers” as defined in the Investment Company Act. However, certain U.S. funds we manage on our private wealth platform are registered investment companies or business development companies under the Investment Company Act (the “Registered Funds”). The Investment Company Act and the rules thereunder contain detailed parameters for the organization and operation of the Registered Funds, including, among other things, their capital structure, investments and transactions. While we exercise broad discretion over the day-to-day management of our Registered Funds, each of them is also subject to significant oversight by a board of trustees, a majority of whom are not “interested persons” as defined under the Investment Company Act. The responsibilities of each board include, among other things, approving our advisory contracts with our Registered Funds on an annual basis, approving certain other service providers, monitoring transactions involving affiliates, and approving certain co-investment transactions. Additionally, the boards appoint a Chief Compliance Officer who meets independently with the independent trustees of our Registered Funds on a quarterly basis or more frequently, as needed. Further, boards’ audit committees are responsible for overseeing the valuation process for each of our Registered Funds and the applicable investment adviser for each of our Registered Funds is required to provide the audit committee with a summary or description of material fair value matters that occurred in the prior quarter and on an annual basis, as well as a written assessment of the adequacy and effectiveness of its valuation process. The audit committee for each Registered Fund may escalate any significant valuation issue to the full board. The advisory contracts with each of our Registered Funds may be terminated by the stockholders or trustees of such Registered Funds on not more than 60 days’ notice.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ERISA-Related Regulation</w:t>
      </w:r>
    </w:p>
    <w:p>
      <w:pPr>
        <w:spacing w:after="0" w:line="220"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231F20"/>
        </w:rPr>
        <w:t>Some of our investment vehicles are treated as holding “plan assets,” as defined under ERISA, as a result of investments in those vehicles by benefit plan investors. By virtue of its role as investment manager of these funds, we are a “plan fiduciary” under ERISA with respect to such benefit plan investors. ERISA and the Code impose certain duties on persons that are plan fiduciaries under ERISA, prohibiting certain transactions involving benefit plans and “parties in interest” or “disqualified persons” to those plans, and providing for monetary penalties against plan fiduciaries for violations of these prohibitions. With respect to these vehicles, we rely on particular statutory and administrative exemptions from certain ERISA prohibited transactions, which exemptions are highly complex and may in certain circumstances depend on compliance by third parties whom we do not control. Our failure to comply with these various requirements could have a material adverse effect on our business.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231F20"/>
        </w:rPr>
        <w:t>In addition, with respect to other investment funds in which benefit plan investors have invested, but which are not treated as holding “plan assets,” we rely on certain rules under ERISA in conducting investment management activities. These rules are sometimes highly complex and may in certain circumstances depend on compliance by third parties that we do not control. If for any reason these rules were to become inapplicable, we could become subject to regulatory action or third-party claims that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Foreign Regulation</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231F20"/>
        </w:rPr>
        <w:t>We provide investment advisory and other services and raise funds in a number of countries and jurisdictions outside the United States. In a number of these countries and jurisdictions, which include the UK, European Union (“EU”), the European Economic Area (“EEA”) and certain of the individual member states of each of the EU and EEA (including Ireland and Luxembourg), Switzerland, Japan, Korea, Singapore, Canada and Brazil,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the EU Alternative Investment Fund Managers Directive II (“AIFMD II”)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AIFMD II entered into force in the EU on April 15, 2024 and member states have two years to implement the rules into national law. Our EU-based subsidiary, StepStone Group Europe Alternative Investments Limited (“SGEAIL”), engages in regulated activities within the EU. SGEAIL is authorized by the Central Bank of Ireland pursuant to AIFMD and UCITS and authorized to provide certain MiFID II services, and is preparing for compliance with AIFMD II. Switzerland and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Failure to maintain compliance with applicable laws and regulations could result in regulatory intervention, adversely affect our business or ability to provide services to our clients and harm our reputation.</w:t>
      </w:r>
    </w:p>
    <w:p>
      <w:pPr>
        <w:spacing w:after="0" w:line="180"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19"/>
          <w:szCs w:val="19"/>
          <w:color w:val="231F20"/>
        </w:rPr>
        <w:t>The European Union Markets in Financial Instruments Directive II (“MiFID II”)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firms which are subject to MiFID II (including MiFID II as applicable in the UK), we implemented revised policies and procedures to comply with MiFID II where relevant, including where certain rules have an extraterritorial impact on us. Continuing compliance with MiFID II may result in greater overall complexity, higher compliance, administration and operational costs, and less overall flexibility.</w:t>
      </w:r>
    </w:p>
    <w:p>
      <w:pPr>
        <w:spacing w:after="0" w:line="178"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auto"/>
        </w:rPr>
        <w:t>The European Commission has passed a package of legislative proposals reforming the EU anti-money laundering and counter-terrorist financing regime, which amongst others, clarifies rules relating to internal policies and procedures, introduces more granular client due diligence requirements, clarifies reliance on outsourcing and harmonizes suspicious activity reporting. The legislation was published in the Official Journal of the European Union on June 19, 2024 and came into force on June 26, 2024. EU member states have 36 months to transpose the legislation into national law.</w:t>
      </w:r>
    </w:p>
    <w:p>
      <w:pPr>
        <w:spacing w:after="0" w:line="192"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9"/>
          <w:szCs w:val="19"/>
          <w:color w:val="231F20"/>
        </w:rPr>
        <w:t>Regulation (EU) 2022/2554 on digital operational resilience for the financial sector (“DORA”) establishes a harmonized and comprehensive digital operational resilience framework across the whole EU financial sector by requiring a wide range of financial entities, including asset managers and investment firms, to manage their information and communication technology (“ICT”) risks in a robust and effective way through internal governance, control and risk frameworks. DORA also requires financial institutions to report major ICT-related incidents to regulatory authorities and undertake digital operational resilience testing. DORA came into force from January 17, 2025.</w:t>
      </w:r>
    </w:p>
    <w:p>
      <w:pPr>
        <w:spacing w:after="0" w:line="175"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231F20"/>
        </w:rPr>
        <w:t>There have also been significant legislative developments affecting the private equity industry in Europe and there continues to be discussion regarding enhancing governmental scrutiny and/or increasing regulation of the private equity industry.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Our People and Culture</w:t>
      </w:r>
    </w:p>
    <w:p>
      <w:pPr>
        <w:spacing w:after="0" w:line="233" w:lineRule="exact"/>
        <w:rPr>
          <w:sz w:val="20"/>
          <w:szCs w:val="20"/>
          <w:color w:val="auto"/>
        </w:rPr>
      </w:pPr>
    </w:p>
    <w:p>
      <w:pPr>
        <w:ind w:right="320" w:firstLine="648"/>
        <w:spacing w:after="0" w:line="253" w:lineRule="auto"/>
        <w:rPr>
          <w:sz w:val="20"/>
          <w:szCs w:val="20"/>
          <w:color w:val="auto"/>
        </w:rPr>
      </w:pPr>
      <w:r>
        <w:rPr>
          <w:rFonts w:ascii="Times New Roman" w:cs="Times New Roman" w:eastAsia="Times New Roman" w:hAnsi="Times New Roman"/>
          <w:sz w:val="20"/>
          <w:szCs w:val="20"/>
          <w:color w:val="231F20"/>
        </w:rPr>
        <w:t>Our core values and beliefs include “People Matter” and “Empowered Team.” We recognize our people are our biggest asset and their enthusiasm, hard work and dedication make everything that we do possible. We emphasize integrity, transparency, collaboration, entrepreneurialism, and respect for all, driving how we interact with one another, our clients and investors, sponsors, vendors and service providers, and the community at large. These values are embraced by StepStone’s team and lead to high satisfaction for employees. We measure employee satisfaction and engagement through a variety of surveys.</w:t>
      </w:r>
    </w:p>
    <w:p>
      <w:pPr>
        <w:spacing w:after="0" w:line="192" w:lineRule="exact"/>
        <w:rPr>
          <w:sz w:val="20"/>
          <w:szCs w:val="20"/>
          <w:color w:val="auto"/>
        </w:rPr>
      </w:pPr>
    </w:p>
    <w:p>
      <w:pPr>
        <w:ind w:right="740" w:firstLine="648"/>
        <w:spacing w:after="0" w:line="258" w:lineRule="auto"/>
        <w:rPr>
          <w:sz w:val="20"/>
          <w:szCs w:val="20"/>
          <w:color w:val="auto"/>
        </w:rPr>
      </w:pPr>
      <w:r>
        <w:rPr>
          <w:rFonts w:ascii="Times New Roman" w:cs="Times New Roman" w:eastAsia="Times New Roman" w:hAnsi="Times New Roman"/>
          <w:sz w:val="20"/>
          <w:szCs w:val="20"/>
          <w:color w:val="231F20"/>
        </w:rPr>
        <w:t>As of March 31, 2025, we had approximately 1,130 employees globally, including over 375 investment professionals and approximately 750 employees across our operating team and implementation teams dedicated to sourcing, executing, analyzing and monitoring private markets opportunities. We consider our relationship with our employees to be good and have not experienced interruptions of operations due to labor disagreements.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Talent Acquisition, Development and Retention</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231F20"/>
        </w:rPr>
        <w:t>StepStone believes that the strength of its team and a positive culture bring tremendous value and are fundamental to our success. Bringing together the highest caliber of available talent with a wide range of backgrounds, experiences, and perspectives allows StepStone to better serve its clients and investors. Our people are our most important asset, and we invest in their success through various professional development programs.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StepStone’s commitment to upholding equal employment is embodied in the three key principles:</w:t>
      </w:r>
    </w:p>
    <w:p>
      <w:pPr>
        <w:spacing w:after="0" w:line="229"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level playing field – Providing all employees an equal chance to develop and advance professionally within the firm;</w:t>
      </w:r>
    </w:p>
    <w:p>
      <w:pPr>
        <w:spacing w:after="0" w:line="215" w:lineRule="exact"/>
        <w:rPr>
          <w:rFonts w:ascii="Times New Roman" w:cs="Times New Roman" w:eastAsia="Times New Roman" w:hAnsi="Times New Roman"/>
          <w:sz w:val="20"/>
          <w:szCs w:val="20"/>
          <w:color w:val="231F20"/>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culture of belonging – Fostering an environment where every colleague is invited to contribute freely; and</w:t>
      </w:r>
    </w:p>
    <w:p>
      <w:pPr>
        <w:spacing w:after="0" w:line="229" w:lineRule="exact"/>
        <w:rPr>
          <w:rFonts w:ascii="Times New Roman" w:cs="Times New Roman" w:eastAsia="Times New Roman" w:hAnsi="Times New Roman"/>
          <w:sz w:val="20"/>
          <w:szCs w:val="20"/>
          <w:color w:val="231F20"/>
        </w:rPr>
      </w:pPr>
    </w:p>
    <w:p>
      <w:pPr>
        <w:ind w:left="1300" w:right="180" w:hanging="644"/>
        <w:spacing w:after="0" w:line="283" w:lineRule="auto"/>
        <w:tabs>
          <w:tab w:leader="none" w:pos="1288"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Continuous improvement – Fostering an environment where data, analysis, and debate drive decision making and raise the level of talent within the firm.</w:t>
      </w:r>
    </w:p>
    <w:p>
      <w:pPr>
        <w:spacing w:after="0" w:line="14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231F20"/>
        </w:rPr>
        <w:t>These principles are integrated into: (a) our practices and policies on recruitment, interviewing, assessment and hiring; (b) firm-wide policies and benefits; (c) retention, development, and promotion of talent; as well as (d) our community and partnership outreach and engagement.</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231F20"/>
        </w:rPr>
        <w:t>StepStone prides itself on growing talent from within, designing well-structured training programs and creating development opportunities for all which are crucial in supporting the firm’s growth. We believe that a strong, performance-oriented culture is the foundation for a stable organization that will attract and retain industry-leading talent. We offer our team members the benefit of a collegial, intellectually challenging environment where they are empowered to exercise their creativity.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As an example, our sponsorship program seeks to identify high-potential employees in mid-level roles, and partners them with one of the firm’s partners, who serves as a sponsor, as well as an executive coach, and is intended to support participants in advancing their professional development and leadership skills. Our mentor program provides interested employees with structured access to one of their more senior colleagues who provide guidance and career advice. New employees also have the opportunity to connect with an onboarding mentor to support their integration into the firm. StepStone also recognizes that different developmental outcomes are needed as employees progress throughout their careers, specifically in the transition period from individual contributors to people managers. To help ease this transition, we provide a series of manager workshops, for new and mid-level managers.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Total Rewards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We strive to provide a competitive total rewards package.</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231F20"/>
        </w:rPr>
        <w:t>Our compensation approach is performance-based and determined by considering a combination of firm and individual performance. Cash compensation, in the forms of base salary, bonus and revenue share, is just one of several core elements of total rewards that we offer our team members. We also offer competitive health and wellness benefits, volunteer time off, and company contributions to employees’ retirement plans. We provide benefits such as paid parental leave, parental leave coaching for managers and employees, paying for travel for newborns and caretakers when the employee has business required travel, paid shipping of breast milk, and wellness rooms for new parents at our offices. As a public company, we are able to diversify our employee ownership by providing equity grants to certain employees. Our LTIP provides us the ability to offer a variety of equity-based awards and our employee stock purchase plan allows us to offer equity for purchase at an attractive discount to the market price through payroll deductions, in each case, to further incentivize our employees. In addition, we award annually a portion of carried interest allocations earned by us to certain employees.</w:t>
      </w:r>
    </w:p>
    <w:p>
      <w:pPr>
        <w:spacing w:after="0" w:line="17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3"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9"/>
          <w:szCs w:val="19"/>
          <w:color w:val="auto"/>
        </w:rPr>
        <w:t>Our Internet address is www.stepstonegroup.com. Our annual reports on Form 10-K, quarterly reports on Form 10-Q, current reports on Form 8-K and amendments to those reports filed or furnished pursuant to Section 13(a) or 15(d) of the Exchange Act, are available free of charge as soon as possible after we electronically file them with, or furnish them to, the SEC. You can access our filings with the SEC by visiting www.sec.gov or our website https://shareholders.stepstonegroup.com/shareholder-relations. The information on our website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Investing in our securities involves uncertainty and risk due to a variety of factors. You should carefully consider the risks described below with all of the other information included in this annual report on Form 10-K. Some of the factors, events, and contingencies discussed below may have occurred in the past, and the disclosures below are not representations as to whether or not the factors, events, or contingencies have occurred in the past, but are provided because future occurrences of such factors, events, or contingencies could have a material adverse effect on our business, growth, reputation, prospects, financial condition, results of operations, cash flows, liquidity and stock price. Further, the risks and uncertainties described below are not the only ones we face. Additional risks not presently known to us or that we currently deem immaterial may also materially affect our business. If any of the following risks were to occur, our business, financial condition, and results of operations could be materially adversely affected. In that case, the trading price of our Class A common stock could decline, and you could lose all or part of your investment. For a summary of these risks, please read “Risk Factors Summary,” which immediately precedes Part I, Item 1 of this annual report on Form 10-K.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success of our business depends on the identification and availability of suitable investment opportunities for our clients.</w:t>
      </w:r>
    </w:p>
    <w:p>
      <w:pPr>
        <w:spacing w:after="0" w:line="233" w:lineRule="exact"/>
        <w:rPr>
          <w:sz w:val="20"/>
          <w:szCs w:val="20"/>
          <w:color w:val="auto"/>
        </w:rPr>
      </w:pPr>
    </w:p>
    <w:p>
      <w:pPr>
        <w:ind w:right="40" w:firstLine="648"/>
        <w:spacing w:after="0" w:line="264" w:lineRule="auto"/>
        <w:rPr>
          <w:sz w:val="20"/>
          <w:szCs w:val="20"/>
          <w:color w:val="auto"/>
        </w:rPr>
      </w:pPr>
      <w:r>
        <w:rPr>
          <w:rFonts w:ascii="Times New Roman" w:cs="Times New Roman" w:eastAsia="Times New Roman" w:hAnsi="Times New Roman"/>
          <w:sz w:val="19"/>
          <w:szCs w:val="19"/>
          <w:color w:val="auto"/>
        </w:rPr>
        <w:t>Our success largely depends on the identification and availability of suitable investment opportunities for our clients, and in particular the success of investments made by the StepStone Funds and advisory accounts. The availability of investment opportunities will be subject to market conditions and other factors outside of our control and the control of the fund managers with which we invest. Markets in the last few years experienced meaningful headwinds, including increasing borrowing costs. The historical investment returns of the StepStone Funds and advisory accounts have benefited from investment opportunities and general market conditions, including favorable borrowing conditions in the debt markets during such historical periods, and we cannot assure you that the StepStone Funds, advisory accounts or the underlying funds in which we invest will be able to avail themselves of comparable opportunities and conditions, particularly in light of recent higher interest rates, changes in governmental policies, and other market conditions. Further, we cannot assure you that the private markets funds we select will be able to identify sufficient attractive investment opportunities to meet their investment objectives.</w:t>
      </w:r>
    </w:p>
    <w:p>
      <w:pPr>
        <w:spacing w:after="0" w:line="18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the investments we make on behalf of the StepStone Funds or recommend to clients perform poorly, we may suffer a decline in our revenues and earnings, and our ability to raise capital for future StepStone Funds may be materially and adversely affected.</w:t>
      </w:r>
    </w:p>
    <w:p>
      <w:pPr>
        <w:spacing w:after="0" w:line="14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Our revenue from our investment management solutions is derived from fees earned for our management of the StepStone Funds and advisory accounts, performance fees, including incentive fees and carried interest allocations with respect to certain of the StepStone Funds, and monitoring and reporting fees. In the event that the StepStone Funds or individual investments perform poorly, our revenues and earnings derived from performance fees will decline and make it more difficult for us to raise capital for new focused commingled funds or gain new SMA clients in the future. If we are unable to raise or are required to repay capital, our business, financial condition and results of operations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Continued positive performance of investments we make on behalf of clients or we recommend to our clients is not assured and may not result in positive performance of an investment in our Class A common stock.</w:t>
      </w:r>
    </w:p>
    <w:p>
      <w:pPr>
        <w:spacing w:after="0" w:line="169"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An investment in our Class A common stock is not an investment in any of the StepStone Funds. In addition, the historical and potential future investment returns of the StepStone Funds are not linked to returns on our Class A common stock. Positive performance of the StepStone Funds or the investments that we recommend to our advisory clients will not necessarily result in positive returns on an investment in our Class A common stock. However, poor investment performance of the StepStone Funds could cause a decline in our revenue and have a negative effect on our performance or on an investment in our Class A common stock.</w:t>
      </w:r>
    </w:p>
    <w:p>
      <w:pPr>
        <w:spacing w:after="0" w:line="192" w:lineRule="exact"/>
        <w:rPr>
          <w:sz w:val="20"/>
          <w:szCs w:val="20"/>
          <w:color w:val="auto"/>
        </w:rPr>
      </w:pPr>
    </w:p>
    <w:p>
      <w:pPr>
        <w:ind w:right="440" w:firstLine="648"/>
        <w:spacing w:after="0" w:line="269" w:lineRule="auto"/>
        <w:rPr>
          <w:sz w:val="20"/>
          <w:szCs w:val="20"/>
          <w:color w:val="auto"/>
        </w:rPr>
      </w:pPr>
      <w:r>
        <w:rPr>
          <w:rFonts w:ascii="Times New Roman" w:cs="Times New Roman" w:eastAsia="Times New Roman" w:hAnsi="Times New Roman"/>
          <w:sz w:val="20"/>
          <w:szCs w:val="20"/>
          <w:color w:val="auto"/>
        </w:rPr>
        <w:t>The historical investment performance of our funds should not be considered indicative of the future investment performance of these funds or of any future funds we may invest, in part because:</w:t>
      </w:r>
    </w:p>
    <w:p>
      <w:pPr>
        <w:spacing w:after="0" w:line="173"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be significantly less favorable than in the past;</w:t>
      </w:r>
    </w:p>
    <w:p>
      <w:pPr>
        <w:spacing w:after="0" w:line="229" w:lineRule="exact"/>
        <w:rPr>
          <w:rFonts w:ascii="Times New Roman" w:cs="Times New Roman" w:eastAsia="Times New Roman" w:hAnsi="Times New Roman"/>
          <w:sz w:val="20"/>
          <w:szCs w:val="20"/>
          <w:color w:val="auto"/>
        </w:rPr>
      </w:pPr>
    </w:p>
    <w:p>
      <w:pPr>
        <w:ind w:left="660" w:right="80" w:hanging="328"/>
        <w:spacing w:after="0" w:line="269"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of the funds’ investments, including unrealized gains, which may never be realized;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newly established funds may generate lower investment returns during the period that they initially deploy their capital;</w:t>
      </w:r>
    </w:p>
    <w:p>
      <w:pPr>
        <w:spacing w:after="0" w:line="215" w:lineRule="exact"/>
        <w:rPr>
          <w:rFonts w:ascii="Times New Roman" w:cs="Times New Roman" w:eastAsia="Times New Roman" w:hAnsi="Times New Roman"/>
          <w:sz w:val="20"/>
          <w:szCs w:val="20"/>
          <w:color w:val="auto"/>
        </w:rPr>
      </w:pPr>
    </w:p>
    <w:p>
      <w:pPr>
        <w:ind w:left="660" w:hanging="328"/>
        <w:spacing w:after="0" w:line="268"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affect both the investment preferences of our clients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161" w:lineRule="exact"/>
        <w:rPr>
          <w:rFonts w:ascii="Times New Roman" w:cs="Times New Roman" w:eastAsia="Times New Roman" w:hAnsi="Times New Roman"/>
          <w:sz w:val="20"/>
          <w:szCs w:val="20"/>
          <w:color w:val="auto"/>
        </w:rPr>
      </w:pPr>
    </w:p>
    <w:p>
      <w:pPr>
        <w:ind w:left="660" w:right="200" w:hanging="328"/>
        <w:spacing w:after="0" w:line="310" w:lineRule="auto"/>
        <w:tabs>
          <w:tab w:leader="none" w:pos="64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our investment returns in the future; and</w:t>
      </w:r>
    </w:p>
    <w:p>
      <w:pPr>
        <w:spacing w:after="0" w:line="124"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 for access to investment funds and other investments we make for our clients is intense.</w:t>
      </w:r>
    </w:p>
    <w:p>
      <w:pPr>
        <w:spacing w:after="0" w:line="233"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We seek to maintain excellent relationships with fund managers, including those in which we have previously made investments for our clients and those in which we may in the future invest, as well as sponsors of investments that might provide co-investment opportunities in portfolio companies alongside the sponsoring fund manager. However, because of the number of clients seeking to gain access to investment funds and co-investment opportunities managed or sponsored by the top performing fund managers, we cannot assure you that we will be able to secure the opportunity to invest on behalf of our clients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fund managers and intermediaries.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188"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auto"/>
        </w:rPr>
        <w:t>The governing agreements of many of the StepStone Funds provide that, subject to certain conditions, third-party clients in those funds have the right to remove us as the general partner of the relevant fund or terminate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fund, including in certain cases without cause by a simple majority vote. Any such removal or dissolution could result in a cessation in management fees we would earn from such funds or a significant reduction in the expected amounts of performance fees from those funds. We currently manage a portion of client assets through SMAs whereby we earn management fees and performance fees, and we intend to continue to seek additional SMA mandates. Clients with SMAs generally may terminate their investment management agreement with us without cause on 30 to 90 days’ notice, and in some cases, shorter notice. From time to time, we lose clients as a result of the sale or merger of a client, a change in a client’s senior management, competition from other financial institutions and other factors. Moreover, a number of our contracts with state government-sponsored clients are secured through such government’s RFP process and are subject to periodic renewal. If multiple clients were to exercise their termination rights or fail to renew their existing contracts and we were unable to secure new clients, our SMA and advisory account fees would decline materially. In the case of any such terminations, the management fees and performance fees we earn in connection with managing such account would immediately cease, which could result in a significant adverse effect on our revenues. If we experience a change of control (as defined under the Investment Advisers Act of 1940, as amended (the “Investment Advisers Act”) or as otherwise set forth in the partnership agreements of our funds), continuation of the investment management agreements of our funds would be subject to client consent. We cannot assure you that required consents will be obtained if a change of control occurs.</w:t>
      </w:r>
    </w:p>
    <w:p>
      <w:pPr>
        <w:spacing w:after="0" w:line="197"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0"/>
          <w:szCs w:val="20"/>
          <w:color w:val="auto"/>
        </w:rPr>
        <w:t>In addition, with respect to our funds that are subject to the Investment Company Act of 1940, as amended (the “Investment Company Act”), each fund’s investment management agreement must be approved annually by (a) such fund’s board of directors and by a vote of the majority of such fund’s equity holders or (b) the independent members of such fund’s board of directors, as required by law. Termination of these agreements would cause us to lose the management fees and performance fees we earn from such funds, which could have a material adverse effect on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retain our senior leadership team and attract additional qualified professionals is critical to our success.</w:t>
      </w:r>
    </w:p>
    <w:p>
      <w:pPr>
        <w:spacing w:after="0" w:line="23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Our success depends on our ability to retain our senior leadership team and to recruit and retain additional qualified investment, sales and other professionals. However, we may not be successful in our efforts, as the market for investment and other professionals is extremely competitive. As such, we cannot be sure we will be able to find suitable successors promptly, or at all, or to successfully integrate any successors, or that we will be able to attract, retain, and develop a sufficient number of qualified individuals in future periods. Furthermore, the individuals that comprise our senior leadership team possess substantial experience and expertise and, in many cases, have significant relationships with certain of our clients. Accordingly, the loss of any member of our senior leadership team could adversely affect certain client relationships or limit our ability to successfully execute our investment strategies. In addition, the governing agreements of the StepStone Funds typically require the suspension of our ability to call additional investment capital if, depending on the fund, designated members of our senior leadership team cease to devote sufficient professional time to or cease to be employed by the Partnership, often called a “key person event,” or in connection with certain other events. Each of these factors could, in turn,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failure to appropriately manage conflicts of interest could damage our reputation and adversely affect our business.</w:t>
      </w:r>
    </w:p>
    <w:p>
      <w:pPr>
        <w:spacing w:after="0" w:line="22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As we expand the scope of our business, we increasingly confront potential conflicts of interest relating to our advisory and investment management businesses. Actual, potential or perceived conflicts can give rise to client dissatisfaction, litigation or regulatory enforcement actions. As a registered investment adviser, the Partnership owes its clients a fiduciary duty and is required to provide disinterested advice. Appropriately managing conflicts of interest is complex and difficult and our reputation could be damaged if we fail, or appear to fail, to deal appropriately with one or more potential or actual conflicts of interest. Enforcement action or litigation asserting improper management of conflicts of interest, even if unproven, could harm our reputation and our business in a number of ways, including by affecting our ability to raise additional funds or causing existing clients to reduce or terminate their business with 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obligations to clients and other third parties that may conflict with stockholders’ interests.</w:t>
      </w:r>
    </w:p>
    <w:p>
      <w:pPr>
        <w:spacing w:after="0" w:line="23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Our subsidiaries that serve as the general partners of, or advisers to, the StepStone Funds have fiduciary and contractual obligations to the clients in those funds and accounts, and some of our subsidiaries may have contractual duties to other third parties. As a result, we may take actions with respect to the allocation of investments among the StepStone Funds (including funds and accounts that have different fee structures), the purchase or sale of investments in the StepStone Funds, the structuring of investment transactions for those StepStone Funds, the advice we provide or other actions in order to comply with these fiduciary and contractual obligations.</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In addition, because our senior management and other professionals generally hold their economic interests through pass-through entities like the Partnership or other affiliated entities, which are not subject to U.S. federal and state entity-level income taxes, and our Class A common stockholders will hold their interests through StepStone Group Inc., which is subject to entity-level taxation as a corporation in the United States, conflicts relating to the selection and structuring of investments or other matters may arise between the Class B unitholders (who are also Class B stockholders of StepStone Group Inc.), Class C unitholders and Class D unitholders of the Partnership, on the one hand, and the Class A stockholders of StepStone Group Inc., on the other hand.</w:t>
      </w:r>
    </w:p>
    <w:p>
      <w:pPr>
        <w:spacing w:after="0" w:line="18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Recent and continuing higher interest rates or prospective decreases in the availability of credit may adversely affect the ability of the StepStone Funds to achieve attractive rates of return, particularly because certain funds and portfolio companies depend on leverage for a return on investment.</w:t>
      </w:r>
    </w:p>
    <w:p>
      <w:pPr>
        <w:spacing w:after="0" w:line="16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While interest rates have historically been low in recent years, various economic factors have recently resulted in a significant increase in interest rates and the rate of inflation, and may also reduce credit availability, all of which may adversely affect the ability of the StepStone Funds to achieve attractive rates of return and adversely affect the value of our carried interest. For instance, in fiscal 2023, we recorded a $122 million loss on unrealized carried interest allocations (net of the reversal of realized carried interest allocations) with respect to our historic operations, as well as a $452 million loss on Legacy Greenspring carried interest allocations. In fiscal 2024, we recorded a $75 million loss on Legacy Greenspring carried interest allocations.</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StepStone Funds, as well as the companies in which they invest, raise capital in the structured private debt, leveraged loan and high yield bond markets. If elevated interest rates persist or further increase or credit markets experience continued or increasing dislocations, contractions or volatility, the StepStone Funds’ results of operations, and in turn ours, will suffer. In addition, acute events in these markets could adversely affect the availability of credit to businesses generally, the cost or terms on which lenders are willing to lend, or the strength of the overall economy, all of which may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Reductions in available sources of debt financing, or extended or increased tightening in the credit markets, may result in increases in interest rates and risk spread demanded by sources of indebtedness, which would make it more expensive to finance investments made by our funds. Certain investments may also be financed through fund-level debt facilities and, as a result of these risks, the refinancing of such facilities at the end of their respective terms may be difficult on commercially reasonable terms or at all.</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Finally, the interest payments on the indebtedness used to finance our focused commingled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adversely affect our business, results of operations and financial condition.</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Similarly, private markets fund portfolio companies regularly utilize the corporate debt markets to obtain additional financing for their operations. Leverage incurred by a portfolio company may cause the portfolio company to be vulnerable to increases in interest rates and decreases in credit availability, which may make such companies less able to cope with changes in business and economic conditions or impair the operations, value or sustainability of such companies. The adverse effects of leverage on portfolio companies in which we directly or indirectly invest can adversely affect the investment returns of the StepStone Funds and advisory accounts. If the investment returns achieved by the StepStone Funds are reduced, it could result in negative reputational effects and impair the value of carried interest allocations, which could materially and adversely affect our business, financial condition and results of operations.</w:t>
      </w:r>
    </w:p>
    <w:p>
      <w:pPr>
        <w:spacing w:after="0" w:line="17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Clients in the StepStone Funds with commitment-based structures may not satisfy their contractual obligation to fund capital calls when requested, which could adversely affect a fund’s operations and performance.</w:t>
      </w:r>
    </w:p>
    <w:p>
      <w:pPr>
        <w:spacing w:after="0" w:line="14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Clients make capital commitments to StepStone Funds with commitment-based structures, and we are entitled to call capital at any time during prescribed periods that can extend for several years into the future. We depend on clients fulfilling their commitments when we call capital from them in order for those funds to consummate investments and otherwise pay their obligations when due. Any client that does not fund a capital call may be subject to penalties, potentially including forfeiting a significant amount of its existing investment in that fund. However, if a client has invested little or no capital, for instance early in the life of a fund, then the forfeiture penalty may not be a significant deterrent to default. Failure to fund capital calls may occur more frequently in the future, as a result of recent increases in interest rates, decreases in equity values and dislocations in the banking sector, or in the event of a continued economic slowdown. For example, in March 2023, Silicon Valley Bank was closed by state regulators and placed under receivership by the U.S. Federal Deposit Insurance Corporation, which temporarily delayed certain clients fulfilling capital calls to the StepStone Funds. In addition, changes to asset allocation policies or new laws or regulations resulting from declines in public equity markets may restrict or prohibit investors from investing in new or successor StepStone Funds or funding existing commitments. If clients fail to satisfy a significant amount of capital calls for any particular fund or funds, the operation and performance of those funds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failure to comply with investment guidelines set by our clients could result in damage awards against us or a reduction in AUM, either of which would cause our earnings to decline and adversely affect our business.</w:t>
      </w:r>
    </w:p>
    <w:p>
      <w:pPr>
        <w:spacing w:after="0" w:line="16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9"/>
          <w:szCs w:val="19"/>
          <w:color w:val="auto"/>
        </w:rPr>
        <w:t>When clients retain us to manage assets on their behalf, they specify certain guidelines regarding investment allocation and strategy that we are required to observe in the management of their portfolios. Our failure to comply with these guidelines and other limitations could result in clients terminating their investment management agreement with us, as these agreements generally are terminable without cause on 30 to 90 days’ notice. Clients could also sue us for breach of contract and seek to recover damages from us. In addition, such guidelines may restrict our ability to pursue allocations or strategies that we believe would generate favorable investment returns, which could result in underperformance of, or losses to, a client account. Even when we comply with all applicable investment guidelines, a client may be dissatisfied with its investment performance or our services or fees, and may terminate their SMAs or advisory accounts or be unwilling to commit new capital to the StepStone Funds or advisory accounts. Any of these events could cause a reduction to AUM and consequently cause our earnings to decline and materially and adversely affect our business, financial condition and results of operations.</w:t>
      </w:r>
    </w:p>
    <w:p>
      <w:pPr>
        <w:spacing w:after="0" w:line="166"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Valuation methodologies for certain assets in the StepStone Funds are subjective, and the values of assets established pursuant to such methodologies may never be realized, which could result in significant losses for the StepStone Funds.</w:t>
      </w:r>
    </w:p>
    <w:p>
      <w:pPr>
        <w:spacing w:after="0" w:line="14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There are no readily ascertainable market prices for a large number of the investments in the StepStone Funds, advisory accounts or the funds in which we invest. The value of the investments of the StepStone Funds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illiquid investments held by the StepStone Funds, advisory accounts and the funds in which we invest may be in industries or sectors that are unstable, in distress, or undergoing some uncertainty, such investments may experience rapid changes in value caused by sudden company-specific or industry-wide developments.</w:t>
      </w:r>
    </w:p>
    <w:p>
      <w:pPr>
        <w:spacing w:after="0" w:line="20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Because there is significant uncertainty in the valuation of, or in the stability of the value of, illiquid investments, the fair values of such investments as reflected in a fund’s NAV do not necessarily reflect the prices that would actually be obtained if such investments were sold. Realizations at values significantly lower than the values at which investments have been reflected in fund NAVs could result in losses for the applicable fund and the loss of potential performance fees by the fund’s manager and us. Also, a situation in which asset values turn out to be materially different from values reflected in fund NAVs could cause clients to lose confidence in us and may, in turn, result in difficulties in our ability to raise additional capital, retain clients or attract new clients.</w:t>
      </w:r>
    </w:p>
    <w:p>
      <w:pPr>
        <w:spacing w:after="0" w:line="17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maintain our desired fee structure as a result of industry pressure from private markets clients to reduce fees, which could have a material adverse effect on our profit margins and results of operations.</w:t>
      </w:r>
    </w:p>
    <w:p>
      <w:pPr>
        <w:spacing w:after="0" w:line="1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We may not be able to maintain our current fee structure for our funds as a result of industry pressure from private markets clients to reduce fees. In order to maintain our desired fee structure in a competitive environment, we must be able to continue to provide clients with investment returns and service levels that incentivize our clients to pay our desired fee rates. We cannot assure you that we will succeed in providing investment returns and service levels that will allow us to maintain our desired fee structure. Fee reductions on existing or future new business could have a material adverse effect on our profit margins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need to pay “clawback” or “contingent repayment” obligations if and when they are triggered under the governing agreements of our funds.</w:t>
      </w:r>
    </w:p>
    <w:p>
      <w:pPr>
        <w:spacing w:after="0" w:line="169" w:lineRule="exact"/>
        <w:rPr>
          <w:sz w:val="20"/>
          <w:szCs w:val="20"/>
          <w:color w:val="auto"/>
        </w:rPr>
      </w:pPr>
    </w:p>
    <w:p>
      <w:pPr>
        <w:ind w:right="360" w:firstLine="648"/>
        <w:spacing w:after="0" w:line="264" w:lineRule="auto"/>
        <w:rPr>
          <w:sz w:val="20"/>
          <w:szCs w:val="20"/>
          <w:color w:val="auto"/>
        </w:rPr>
      </w:pPr>
      <w:r>
        <w:rPr>
          <w:rFonts w:ascii="Times New Roman" w:cs="Times New Roman" w:eastAsia="Times New Roman" w:hAnsi="Times New Roman"/>
          <w:sz w:val="19"/>
          <w:szCs w:val="19"/>
          <w:color w:val="auto"/>
        </w:rPr>
        <w:t>Generally, if at the termination of a fund and in certain cases at interim points in the life of a fund, the fund has not achieved investment returns that exceed the preferred return threshold or we have received net profits over the life of the fund in excess of our allocable share under the applicable partnership agreement, we will be obligated to repay an amount equal to the excess of amounts previously distributed to us over the amounts to which we are ultimately entitled. This obligation is known as a “clawback” or contingent repayment obligation. Our carried interest is generally determined at the end of the period on a hypothetical liquidation basis. As of</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March 31, 2025, if the funds were liquidated at their fair values, no material amounts would have been subject to contingent repayment by us. We cannot assure you that we will not incur a contingent repayment obligation in the future. Although a contingent repayment obligation is split among the various obligors, with each responsible for only its respective share, the governing agreements of the StepStone Funds generally provide that, to the extent another party who received a distribution does not fund its respective share, we are required to fund any additional amount beyond the amount of carried interest actually allocated to us, up to the entire amount of the relevant contingent repayment obligation. We may need to use or reserve cash to repay such contingent repayment obligations instead of using the cash for other purposes.</w:t>
      </w:r>
    </w:p>
    <w:p>
      <w:pPr>
        <w:spacing w:after="0" w:line="16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Our investment management activities may involve investments in relatively high-risk, illiquid assets, and we may lose, or our clients may lose, some or all of the amounts invested in these activities or fail to realize any profits from these activities for a considerable period of time.</w:t>
      </w:r>
    </w:p>
    <w:p>
      <w:pPr>
        <w:spacing w:after="0" w:line="15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investments made by the StepStone Funds and recommended by our advisory services include high-risk, illiquid assets. We have made and expect to continue to make principal investments alongside our clients, as the general partner, in existing and future StepStone Funds. The StepStone Funds invest capital in private markets funds that make investments in equity or debt securities that are not publicly traded. Even where such securities are publicly traded, many of these funds may be prohibited by contract or applicable securities laws from selling such investments for a period of time. Accordingly, the private markets funds in which we and our clients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Furthermore, large holdings of publicly traded equity securities can often be disposed of only over a substantial period of time, exposing the investment returns to risks of downward movement in market prices during the disposition period. Investing in private markets funds is risky, and we may lose some or the entire amount of our investment or the investment made by the StepStone Funds. Poor investment performance could lead clients to terminate their agreements with us and/or result in negative reputational effects, either of which could materially and adversely affect our business, financial condition and results of operations.</w:t>
      </w:r>
    </w:p>
    <w:p>
      <w:pPr>
        <w:spacing w:after="0" w:line="19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In addition, we may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of our investment and suffer reputational harm. See “—Recent and continuing higher interest rates or prospective decreases in the availability of credit may adversely affect the ability of the StepStone Funds to achieve attractive rates of return, particularly because certain funds and portfolio companies depend on leverage for a return on investment.”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results of operations,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196"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20"/>
          <w:szCs w:val="20"/>
          <w:color w:val="auto"/>
        </w:rPr>
        <w:t>In addition, during periods of difficult market conditions, including volatility as a result of economic or political events in or affecting the world’s major economies,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the StepStone Funds invest, which consequently would materially and adversely affect investment returns for the StepStone Funds.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StepStone Funds may face risks relating to undiversified investments.</w:t>
      </w:r>
    </w:p>
    <w:p>
      <w:pPr>
        <w:spacing w:after="0" w:line="22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We cannot give assurance as to the degree of diversification that will be achieved in any of the StepStone Funds. Difficult market conditions or slowdowns affecting a particular asset class, geographic region or other category of investment could have a significant adverse effect on a given StepStone Fund if its investments are concentrated in that category, which would result in lower investment returns. Accordingly, a lack of diversification on the part of a StepStone Fund could adversely affect its investment performance and, as a result,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Banking system volatility may adversely affect the results and financial condition of the StepStone Funds or StepStone generally.</w:t>
      </w:r>
    </w:p>
    <w:p>
      <w:pPr>
        <w:spacing w:after="0" w:line="23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StepStone and the StepStone Funds and their portfolio companies and other investments maintain substantially all of their respective cash and cash equivalents in accounts with major U.S. and multi-national financial institutions, and their respective deposits or investments at certain of these institutions could exceed insured limits, where applicable. Furthermore, many of the foregoing’s respective cash and cash equivalents could be held by a single financial institution or a few institutions. In addition, StepStone and the StepStone Funds and their portfolio companies and other investments may not be able to identity all potential solvency or stress concerns with respect to a financial institution or to transfer assets from one financial institution to another in a timely manner in the event a financial institution comes under stress or fails. For example, in March 2023, Silicon Valley Bank was closed by state regulators and placed under receivership by the U.S. Federal Deposit Insurance Corporation, which temporarily delayed certain clients fulfilling capital calls to the StepStone Funds. In the event of failure of any such financial institutions, we cannot assure you that we, the StepStone Funds or any of their investments could access uninsured funds promptly or at all. Furthermore, a StepStone Fund could be unable to call capital from the investors until it sets up a new deposit account at a different institution, which could be a time-consuming process and could be prohibited under the fund’s then-existing credit facilities.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Ordinarily, assets held by a regulated financial institution are insured up to stated balance amounts—the U.S. Federal Deposit Insurance Corporation in the case of U.S. banks or the Securities Investor Protection Corporation in the case of U.S. broker-dealers. Customers of regulated financial institutions with amounts in excess of the relevant insurance limits are unsecured creditors with respect to cash and cash equivalents held with such institutions in excess of those relevant insurance limits, and therefore such excess amounts are subject to risk of loss, although uninsured depositors of a failed bank are given priority over general unsecured creditors of the same failed bank. Although governmental intervention has resulted in additional protections for uninsured depositors of failed banks, or facilitated acquisitions, there can be no assurance that governmental intervention will be successful or avoid the risk of loss.</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If deposit accounts or credit facilities are held at the same financial institution, and such institution fails, a StepStone Fund may need to make more frequent capital calls to its investors and to StepStone, and the fund or its investments may be unable to fund obligations they have to third parties.</w:t>
      </w:r>
    </w:p>
    <w:p>
      <w:pPr>
        <w:spacing w:after="0" w:line="181"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We also caution you that the general partner of a fund (whether such general partner is StepStone or a third party) may not have a meaningful role or any role in selecting the financial institutions used by fund investments and must rely on underlying sponsors or portfolio company management to select banking or other financial services. Likewise, if an institution used by an investor fails, such investor may be unable to satisfy capital calls made by the fund. This could lead to a fund utilizing shortfall funding solutions, if available to the fund and permitted by the fund’s governing agreements. Any inability to access, or delay in accessing, deposits or credit facilities (including the inability of an investor to fund its capital commitments) or other services could adversely affect the results and financial condition of StepStone and the StepStone funds and their portfolio companies and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StepStone Funds make investments in funds and companies that we do not control.</w:t>
      </w:r>
    </w:p>
    <w:p>
      <w:pPr>
        <w:spacing w:after="0" w:line="220" w:lineRule="exact"/>
        <w:rPr>
          <w:sz w:val="20"/>
          <w:szCs w:val="20"/>
          <w:color w:val="auto"/>
        </w:rPr>
      </w:pPr>
    </w:p>
    <w:p>
      <w:pPr>
        <w:jc w:val="both"/>
        <w:ind w:right="80" w:firstLine="648"/>
        <w:spacing w:after="0" w:line="270" w:lineRule="auto"/>
        <w:rPr>
          <w:sz w:val="20"/>
          <w:szCs w:val="20"/>
          <w:color w:val="auto"/>
        </w:rPr>
      </w:pPr>
      <w:r>
        <w:rPr>
          <w:rFonts w:ascii="Times New Roman" w:cs="Times New Roman" w:eastAsia="Times New Roman" w:hAnsi="Times New Roman"/>
          <w:sz w:val="19"/>
          <w:szCs w:val="19"/>
          <w:color w:val="auto"/>
        </w:rPr>
        <w:t>Investments by most of the StepStone Funds will include debt instruments and equity securities of funds and companies that we do not control. The StepStone Funds may invest through co-investment arrangements or acquire minority equity interests and may also dispose of a portion of their equity investments in portfolio companies over time in a manner that results in their retaining a minority investment.</w:t>
      </w:r>
    </w:p>
    <w:p>
      <w:pPr>
        <w:spacing w:after="0" w:line="249" w:lineRule="auto"/>
        <w:rPr>
          <w:sz w:val="20"/>
          <w:szCs w:val="20"/>
          <w:color w:val="auto"/>
        </w:rPr>
      </w:pPr>
      <w:r>
        <w:rPr>
          <w:rFonts w:ascii="Times New Roman" w:cs="Times New Roman" w:eastAsia="Times New Roman" w:hAnsi="Times New Roman"/>
          <w:sz w:val="20"/>
          <w:szCs w:val="20"/>
          <w:color w:val="auto"/>
        </w:rPr>
        <w:t>Consequently, the performance of the StepStone Funds will depend significantly on the investment and other decisions made by third parties, which could have a material adverse effect on the returns achieved by the StepStone Funds.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the investments we have made on behalf of clients or we recommend to our clients could decrease and our financial condition, results of operations and cash flow could suffer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risk management strategies and procedures may leave us exposed to unidentified or unanticipated risks.</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Risk management applies to our investment management operations as well as to the investments we make for the StepStone Funds.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clients’ investments are based upon our analysis of historical private markets behavior. Statistical techniques are applied to these observations in order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insufficient. Failure of our risk management techniques could materially and adversely affect our business, financial condition and results of operations, including our right to receive performance fees.</w:t>
      </w:r>
    </w:p>
    <w:p>
      <w:pPr>
        <w:spacing w:after="0" w:line="196"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due diligence process that we undertake in connection with investments may not reveal all facts that may be relevant in connection with an investment.</w:t>
      </w:r>
    </w:p>
    <w:p>
      <w:pPr>
        <w:spacing w:after="0" w:line="16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Before making or recommending investments for our clients,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guarantee the success of an investment.</w:t>
      </w:r>
    </w:p>
    <w:p>
      <w:pPr>
        <w:spacing w:after="0" w:line="182"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In addition, generally our underlying investments are managed by third-party sponsors and, as a result, we depend on the due diligence investigation of such third-party sponsors. We have little or no control over their due diligence process, and any shortcomings in their due diligence could be reflected in the performance of the investment we make with them on behalf of our clients. Poor investment performance could lead clients to terminate their agreements with us or result in negative reputational effects, either of which could materially and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Restrictions on our ability to collect and analyze data regarding our clients’ investments could adversely affect our business.</w:t>
      </w:r>
    </w:p>
    <w:p>
      <w:pPr>
        <w:spacing w:after="0" w:line="220"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We rely on our proprietary data and technology platforms to provide regular reports to our clients, to research developments and trends in private markets and to support our investment processes. We depend on the continuation of our relationships with the fund managers and sponsors of the underlying funds and investments in order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and our clients depend on the reliability of our proprietary data and technology platforms and other data processing systems. Failures or interruptions of these services may disrupt our business, damage our reputation, limit our growth and adversely affect our business and results of operations.</w:t>
      </w:r>
    </w:p>
    <w:p>
      <w:pPr>
        <w:spacing w:after="0" w:line="166"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0"/>
          <w:szCs w:val="20"/>
          <w:color w:val="auto"/>
        </w:rPr>
        <w:t>We and our clients rely heavily on our proprietary data and technology platforms, including SPI Research and SPI Reporting, and associated tools, which form a valuable part of the services we offer to our clients. We also rely heavily on other financial, accounting, compliance, monitoring and reporting data processing systems. Our back-up procedures and capabilities in the event of a failure or interruption may not be adequate. We expect that we will need to upgrade and expand the capabilities of our data processing systems and other operating technology in the future and we will incur costs to do so. We also rely on third-party service providers for certain aspects of our information and technology platforms and systems. Any failure, interruption or deterioration of proprietary data and technology platforms or other systems, including the loss or compromise of data by fire, natural disaster, power or telecommunications failure, or cybersecurity breaches or ransomware, or the failure of third-party service providers to perform could materially adversely affect our ability to provide services to our clients, harm our reputation, business or results of operations or result in regulatory intervention.</w:t>
      </w:r>
    </w:p>
    <w:p>
      <w:pPr>
        <w:spacing w:after="0" w:line="185"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 compromise or corruption of our systems or that of our vendors containing confidential information could damage our business relationships and adversely affect our business, financial condition and results of operations.</w:t>
      </w:r>
    </w:p>
    <w:p>
      <w:pPr>
        <w:spacing w:after="0" w:line="1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We collect, process and store rapidly increasing volumes of highly sensitive data, including our proprietary business information and intellectual property, and personally identifiable information of our employees, our clients and others, in our data centers and on our networks, and with our vendors, service providers and government agencies. SPI Reporting includes funds, direct investments and co-investments that we monitor and report on for the StepStone Funds and advisory accounts. The secure processing, maintenance and transmission of this information are critical to our operations. A significant actual or potential theft, loss, corruption, exposure, fraudulent use or misuse of client, employee or other personally identifiable or proprietary business data, whether by third parties or as a result of employee malfeasance or otherwise, non-compliance with our contractual or other legal obligations regarding such data or intellectual property or a violation of our privacy and security policies with respect to such data could result in significant remediation and other costs, fines, litigation or regulatory actions against us and significant reputational harm. Such events could damage our business relationships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Cybersecurity risks and cybersecurity incidents could adversely affect our business by causing a disruption to our operations, which could adversely affect our financial condition and results of operations.</w:t>
      </w:r>
    </w:p>
    <w:p>
      <w:pPr>
        <w:spacing w:after="0" w:line="16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The frequency and sophistication of the cybersecurity threats and incidents we face continue to increase. As a result, we face a heightened risk of a cybersecurity incident or disruption with respect to sensitive information resulting from an attack by computer hackers, foreign governments or cyber terrorists. Our reputation and our ability to operate and expand our business depend on computer hardware and software systems, including our proprietary data and technology platforms and other data processing systems, which can be vulnerable to security breaches or other cyber incidents. Our funds’ portfolio companies rely on similar systems and face similar risks, and such funds may invest in strategic assets having a national or regional profile or in infrastructure assets that face a greater risk of attack. Cybersecurity incidents may be an intentional attack, such as a hacker attack, ransomware, virus or worm, or an unintentional event and could involve bad actors gaining unauthorized access to our information systems for purposes of misappropriating assets, disclosing or modifying sensitive or confidential information, corrupting data or causing operational disruption. Cyber-criminals can attempt to redirect payments required to be paid at the closings of our investments to unauthorized accounts, which we or the services providers we retain, such as paying agents and escrow agents, may not be able to detect or protect against. In recent years, there has been a significant increase in ransomware and other hacking attempts by cyber-criminals. The rapid evolution and increased availability of artificial intelligence may intensify cybersecurity risks by making such attacks and other cybersecurity incidents more difficult to detect, contain, and mitigate. The costs related to cyber or other security threats or disruptions may not be fully insured or indemnified by others, including by our service providers.</w:t>
      </w:r>
    </w:p>
    <w:p>
      <w:pPr>
        <w:spacing w:after="0" w:line="18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We have implemented processes, procedures and internal controls designed to mitigate cybersecurity risks and cybersecurity incidents. However, these measures, as well as our increased awareness of the nature and extent of a risk of a cybersecurity incident, do not guarantee that a cyber-incident will not occur or that our financial results or operations will not be adversely affected by such an incident. Cyber-incident techniques change frequently, may not immediately be recognized and can originate from a wide variety of sources. We devote significant levels of funding and resources to comply with evolving cybersecurity regulations, including the SEC rules applicable to public companies as well as those proposed by the SEC with respect to investment advisers, and to monitor and enhance our information security procedures and controls. We maintain insurance intended to cover certain cybersecurity events, but such insurance may not cover all risks and losses that we experience.</w:t>
      </w:r>
    </w:p>
    <w:p>
      <w:pPr>
        <w:spacing w:after="0" w:line="195" w:lineRule="exact"/>
        <w:rPr>
          <w:sz w:val="20"/>
          <w:szCs w:val="20"/>
          <w:color w:val="auto"/>
        </w:rPr>
      </w:pPr>
    </w:p>
    <w:p>
      <w:pPr>
        <w:ind w:right="40" w:firstLine="648"/>
        <w:spacing w:after="0" w:line="264" w:lineRule="auto"/>
        <w:rPr>
          <w:sz w:val="20"/>
          <w:szCs w:val="20"/>
          <w:color w:val="auto"/>
        </w:rPr>
      </w:pPr>
      <w:r>
        <w:rPr>
          <w:rFonts w:ascii="Times New Roman" w:cs="Times New Roman" w:eastAsia="Times New Roman" w:hAnsi="Times New Roman"/>
          <w:sz w:val="19"/>
          <w:szCs w:val="19"/>
          <w:color w:val="auto"/>
        </w:rPr>
        <w:t>We also face cybersecurity risks associated with sensitive information provided to third parties. We rely on third-party service providers for certain aspects of our business, including for certain information systems and technology, as well as administration of the StepStone Funds. Additionally, each of the jurisdictions in which we operate may require us to provide sensitive information to government agencies, including biographical, financial and tax information relating to our personnel or investments. The information systems of government agencies have previously been compromised and we believe they continue to be targets for cyber-criminals. Third-party service providers and their vendors are also susceptible to cyber and security threats and incidents. Any interruption or deterioration in the performance of these government agencies or third-party service providers, intentional or unintentional information security incidents caused by their personnel, failures of their information systems and technology or cyber and security breaches could put our sensitive information at risk or result in the shutdown of a service provider, and indemnification by, or insurance coverage of, such service providers may not be sufficient to cover any damage or loss, which could impair the quality of the funds’ operations and harm our reputation, thereby adversely affecting our business, financial condition and results of operations. We may also need to expend additional resources to adapt our cybersecurity program to the evolving security landscape and to investigate and remediate vulnerabilities or other identified risks.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are subject to numerous laws, regulations, and contractual obligations designed to protect our regulated data, and that of our customers. These include complex and evolving laws, rules, regulations, and standards relating to cybersecurity and data privacy in a number of jurisdictions. Such laws, rules, regulations, and standards pose increasingly complex compliance challenges and potential costs. Any loss of sensitive information and failure to comply with these requirements or other applicable laws and regulations in this area, could result in significant regulatory non-compliance exposure or other penalties and legal liabilities.</w:t>
      </w:r>
    </w:p>
    <w:p>
      <w:pPr>
        <w:spacing w:after="0" w:line="192"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20"/>
          <w:szCs w:val="20"/>
          <w:color w:val="auto"/>
        </w:rPr>
        <w:t>The result of these adverse incidents can include the inability to provide services to our clients, other disruptions of our business, corruption or modifications to our data, fraudulent transfers or requests for transfers of money, liability for stolen assets or information, increased cybersecurity protection and insurance costs and litigation.</w:t>
      </w:r>
    </w:p>
    <w:p>
      <w:pPr>
        <w:spacing w:after="0" w:line="16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Risk related to emerging and changing technology, including artificial intelligence, could impact our results of operations or financial condition.</w:t>
      </w:r>
    </w:p>
    <w:p>
      <w:pPr>
        <w:spacing w:after="0" w:line="156"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0"/>
          <w:szCs w:val="20"/>
          <w:color w:val="auto"/>
        </w:rPr>
        <w:t>Our future success depends, in part, on our ability to anticipate and respond effectively to the risk of, and the opportunity presented by, digital disruption and other technology change. These may include new applications based on artificial intelligence, machine learning, or new approaches to data mining.</w:t>
      </w:r>
    </w:p>
    <w:p>
      <w:pPr>
        <w:spacing w:after="0" w:line="168"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0"/>
          <w:szCs w:val="20"/>
          <w:color w:val="auto"/>
        </w:rPr>
        <w:t>Risks related to artificial intelligence, including our use of third-party products incorporating artificial intelligence, include the generation of factually incorrect or biased results, also known as hallucinations, data security vulnerabilities, potential IP infringement, mishandling of confidential, proprietary, or private information, and potentially problematic third-party license terms. In addition, the SEC has proposed new rules on the use of artificial intelligence by investment advisers that, if enacted, could add to the compliance risks and burdens of using this technology.</w:t>
      </w:r>
    </w:p>
    <w:p>
      <w:pPr>
        <w:spacing w:after="0" w:line="173"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We may also be exposed to competitive risks related to the adoption and application of new technologies by established market participants or new entrants. We may not be successful in anticipating or responding to these developments on a timely and cost-effective basis. Additionally, the effort to gain technological expertise and develop new technologies in our business may be costly. Investments in technology systems and data analytics capabilities may not deliver the benefits or perform as expected or may be replaced or become obsolete more quickly than expected, which could result in operational difficulties or additional costs. If we cannot offer new artificial intelligence-facilitated technologies or data analytics solutions as quickly as our competitors, or if our competitors develop more cost-effective technologies, data analytics solutions or other product offerings, we could experience a material adverse effect on our operating results, customer relationships and growth opportunities.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Poor implementation of new technologies, including artificial intelligence, by us or our third-party service providers, could subject us to additional risks we do not understand or cannot adequately mitigate, which could have an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Employee misconduct could harm us by impairing our ability to attract and retain clients and subjecting us to significant legal liability and reputational harm.</w:t>
      </w:r>
    </w:p>
    <w:p>
      <w:pPr>
        <w:spacing w:after="0" w:line="16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There is a risk that our employees could engage in misconduct that adversely affects our business. We are subject to a number of obligations and standards arising from our advisory and investment management services and our discretionary authority over the assets we manage. The violation of these obligations and standards by any of our employees would adversely affect our clients and us. Our business often requires that we deal with confidential matters of great significance to companies and funds in which we may invest for our clients. If our employees were to improperly use or disclose confidential information, we could be subject to legal or regulatory action and suffer serious harm to our reputation, financial position and current and future business relationships. It is not always possible to detect or deter employee misconduct, and the extensive precautions we take to detect and prevent this activity may not be effective in all cases. If one of our employees were to engage in misconduct or were to be accused of such misconduct, our business and our reputation could be materially and adversely affected. See “—Evolving laws and government regulations could adversely affect us.”</w:t>
      </w:r>
    </w:p>
    <w:p>
      <w:pPr>
        <w:spacing w:after="0" w:line="17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face damage to our professional reputation if our services are not regarded as satisfactory or for other reasons and may face legal liability to our clients and third parties under securities or other laws and regulations.</w:t>
      </w:r>
    </w:p>
    <w:p>
      <w:pPr>
        <w:spacing w:after="0" w:line="14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As a private markets investment firm focused on providing customized investment solution services,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The importance of our reputation may increase as we seek to expand our client base and into new private markets.</w:t>
      </w:r>
    </w:p>
    <w:p>
      <w:pPr>
        <w:spacing w:after="0" w:line="186"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Our asset management and advisory activities subject us to the risk of significant legal liabilities to our clients and third parties, including our clients’ stockholders or beneficiaries. In our investment management business, we make investment decisions on behalf of our clients that could result in substantial losses. Any such losses may subject us to the risk of legal and regulatory liabilities or actions alleging negligent misconduct, breach of fiduciary duty or breach of contract. We could also be liable to our clients and third parties, including our clients’ stockholders or beneficiaries, under securities or other laws and regulations for materially false or misleading statements made in connection with securities and other transactions. These risks often are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clients.</w:t>
      </w:r>
    </w:p>
    <w:p>
      <w:pPr>
        <w:spacing w:after="0" w:line="191"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non-U.S. operations are subject to certain risks, which may adversely affect our business, financial condition and results of operations.</w:t>
      </w:r>
    </w:p>
    <w:p>
      <w:pPr>
        <w:spacing w:after="0" w:line="16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non-U.S. operations carry special financial and business risks, which include: fluctuations in foreign currency exchange rates that could adversely affect our results; unexpected changes in trading policies, regulatory and licensing requirements, trade policies and other barriers; local labor conditions, protections and regulations; adverse consequences or restrictions on the repatriation of earnings; potentially adverse tax consequences, such as trapped foreign losses or excise taxes (or other similar taxes); less stable political and economic environments; terrorism, political hostilities, war, outbreak of disease and other civil disturbances or other catastrophic events that reduce business activity; cultural and language barriers and the need to adopt different business practices in different geographic areas; and difficulty collecting fees and, if necessary, enforcing judgments.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As part of our day-to-day operations outside the United States, we are required to create compensation programs, employment policies, privacy policies, compliance policies and procedures and other administrative programs that comply with the laws of multiple countries. We also must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192"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affected, possibly materially, if we are unable to successfully manage these and other risks of global operations in a volatile environment. If our non-U.S. business increases relative to our total business, these factors could have a more pronounced effect on our results of operations or growth prospects.</w:t>
      </w:r>
    </w:p>
    <w:p>
      <w:pPr>
        <w:spacing w:after="0" w:line="189" w:lineRule="exact"/>
        <w:rPr>
          <w:sz w:val="20"/>
          <w:szCs w:val="20"/>
          <w:color w:val="auto"/>
        </w:rPr>
      </w:pPr>
    </w:p>
    <w:p>
      <w:pPr>
        <w:ind w:right="8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Investments of the StepStone Funds in certain jurisdictions may be subject to heightened risks relative to investments in other jurisdictions, which may adversely affect our business, financial condition and results of operations.</w:t>
      </w:r>
    </w:p>
    <w:p>
      <w:pPr>
        <w:spacing w:after="0" w:line="16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A portion of the investments of the StepStone Funds and advisory accounts include private markets funds that are located in, or invest in portfolio companies located in, countries that are subject to heightened risks. Such investments may involve risks related to (i) currency exchange matters, including exchange rate fluctuations with respect to the foreign currency in which the investments are denominated, and costs associated with conversion of investment proceeds and income from one currency to another; (ii) regulations pertaining to investments and investment managers in such countries; (iii) differences in the capital markets of such countries, including, in some cases, the absence of uniform accounting, auditing, financial reporting and legal standards, practices and disclosure requirements and less government supervision and regulation; (iv) certain economic, social and political risks, including exchange control regulations and restrictions on foreign investments and repatriation of capital, and the risks of political, economic or social instability; and (v) the possible imposition of taxes with respect to such investments or confiscatory taxation. These risks could adversely affect the investment performance of the StepStone Funds and advisory accounts,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9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Revenues from our real estate asset class are subject to the risks inherent in the ownership and operation of real estate and the construction and development of real estate.</w:t>
      </w:r>
    </w:p>
    <w:p>
      <w:pPr>
        <w:spacing w:after="0" w:line="169"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Our real estate funds are subject to risks arising from the ownership and operation of real estate and real estate-related businesses and assets. These risks include the following: general and local economic conditions; changes in supply of and demand for competing properties in an area (as a result, for example, of overbuilding); changes in building, environmental and other laws; diminished financial resources of tenants; changes in demand for commercial office properties (including as a result of an increased prevalence of remote work); fluctuations in the average occupancy and room rates for hotel properties; energy and supply shortages; uninsured or uninsurable risks; liability for “slip-and-fall” and other accidents on properties held by our funds; natural disasters; changes in government regulations (such as rent control and tax laws); changes in real property tax and transfer tax rates; changes in interest rates; the reduced availability of mortgage funds which may render the sale or refinancing of properties difficult or impracticable; negative developments in the economy that depress travel activity; environmental liabilities, including under environmental laws that impose, regardless of fault, joint and several liability for the cost of remediating contamination and compensation for damages; contingent liabilities on disposition of assets; unexpected cost overruns in connection with development projects; terrorist attacks, war and other factors that are beyond our control; and dependence on local operating partners. Even in cases where we are indemnified against liabilities arising out of our real estate business, we cannot assure you as to the financial viability of the indemnifying party to satisfy such indemnities or our ability to achieve enforcement of such indemnities.</w:t>
      </w:r>
    </w:p>
    <w:p>
      <w:pPr>
        <w:spacing w:after="0" w:line="18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If our clients or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or labor conditions or material shortages) and the availability of both construction and permanent financing on favorable terms. Additionally, such investments may be managed by a third party, which makes them dependent upon such third parties. Any of these factors may cause the value of real estate investments to decline, which may have a material adverse effect on our clients or our business, financial condition and results of operations.</w:t>
      </w:r>
    </w:p>
    <w:p>
      <w:pPr>
        <w:spacing w:after="0" w:line="18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real estate asset class is exposed to commercial real estate values and commercial real estate loans, both of which are expected to be adversely affected by decreased occupancy rates, higher prevailing interest rates and decreased credit availability.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Our real estate asset class has traditionally been exposed to commercial real estate and may be adversely affected by conditions in the</w:t>
      </w:r>
    </w:p>
    <w:p>
      <w:pPr>
        <w:spacing w:after="0" w:line="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commercial real estate market. Commercial real estate depends on cash flows from the property to service the debt, successful completion of construction projects and, in some cases, sales of the underlying properties. Because of decreasing occupancy rates for commercial real estate, along with higher prevailing interest rates and decreased ability to refinance commercial real estate borrowings, we expect it may be more difficult for commercial real estate to generate sufficient cash flows to service debt, maintain required financial and operating covenants</w:t>
      </w:r>
    </w:p>
    <w:p>
      <w:pPr>
        <w:spacing w:after="0" w:line="3"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of such debt, pay or refinance debt as it comes due or generate a profit. As a result of these economic conditions, the value of commercial real estate investments and loans supporting such investments are expected to be adversely affected in the near term.</w:t>
      </w:r>
    </w:p>
    <w:p>
      <w:pPr>
        <w:spacing w:after="0" w:line="16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investments we make on behalf of clients or we recommend to our clients in infrastructure assets may expose us to increased risks and liabilities.</w:t>
      </w:r>
    </w:p>
    <w:p>
      <w:pPr>
        <w:spacing w:after="0" w:line="142"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Investments in infrastructure assets may expose us and our clients to increased risks and liabilities that are inherent in the ownership of infrastructure assets. For example: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20" w:hanging="328"/>
        <w:spacing w:after="0" w:line="254"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of infrastructure assets may also present additional risk of liability for personal and property injury or impose significant operating challenges and costs with respect to, for example, compliance with zoning, environmental, worker, public health and safety or other applicable laws or government actions, which may have a material adverse effect on the operations, financial condition and liquidity of particular assets and ultimately affect investment returns.</w:t>
      </w:r>
    </w:p>
    <w:p>
      <w:pPr>
        <w:spacing w:after="0" w:line="187" w:lineRule="exact"/>
        <w:rPr>
          <w:rFonts w:ascii="Times New Roman" w:cs="Times New Roman" w:eastAsia="Times New Roman" w:hAnsi="Times New Roman"/>
          <w:sz w:val="20"/>
          <w:szCs w:val="20"/>
          <w:color w:val="auto"/>
        </w:rPr>
      </w:pPr>
    </w:p>
    <w:p>
      <w:pPr>
        <w:ind w:left="660" w:right="100" w:hanging="328"/>
        <w:spacing w:after="0" w:line="250"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Infrastructure asset investments may face construction and development risks including, without limitation: (i) labor disputes, shortages of material and skilled labor, or work stoppages; (ii) slower than projected construction progress and the unavailability or late delivery of necessary equipment; (iii) less than optimal coordination with public utilities in the relocation of their facilities; (iv) climate change, adverse weather conditions and unexpected construction conditions; (v) accidents or the breakdown or failure of construction equipment or processes; (vi) political or local opposition; (vii) failure to obtain regulatory approvals or permits; and (viii) catastrophic events, such as explosions, fires, war, terrorist activities, natural disasters and other similar events. These risks could result in substantial unanticipated delays or expenses (which may exceed expected or forecasted budgets) and, under certain circumstances, could prevent completion of construction activities once undertaken. Insurance against such risks may be limited. Certain infrastructure asset investments may remain in construction phases for a prolonged period of time and, accordingly, may not generate cash during such prolonged period. Recourse against the contractor may be subject to liability caps or may be subject to default or insolvency on the part of the contractor.</w:t>
      </w:r>
    </w:p>
    <w:p>
      <w:pPr>
        <w:spacing w:after="0" w:line="199" w:lineRule="exact"/>
        <w:rPr>
          <w:rFonts w:ascii="Times New Roman" w:cs="Times New Roman" w:eastAsia="Times New Roman" w:hAnsi="Times New Roman"/>
          <w:sz w:val="20"/>
          <w:szCs w:val="20"/>
          <w:color w:val="auto"/>
        </w:rPr>
      </w:pPr>
    </w:p>
    <w:p>
      <w:pPr>
        <w:ind w:left="660" w:right="180" w:hanging="328"/>
        <w:spacing w:after="0" w:line="253"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 of infrastructure assets is exposed to potential unplanned interruptions caused by significant catastrophic or force majeure events. These risks could, among other effects, adversely affect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Force majeure events that are incapable of, or too costly to, cure may also have a permanent adverse effect on an investment.</w:t>
      </w:r>
    </w:p>
    <w:p>
      <w:pPr>
        <w:spacing w:after="0" w:line="178" w:lineRule="exact"/>
        <w:rPr>
          <w:rFonts w:ascii="Times New Roman" w:cs="Times New Roman" w:eastAsia="Times New Roman" w:hAnsi="Times New Roman"/>
          <w:sz w:val="20"/>
          <w:szCs w:val="20"/>
          <w:color w:val="auto"/>
        </w:rPr>
      </w:pPr>
    </w:p>
    <w:p>
      <w:pPr>
        <w:ind w:left="660" w:hanging="328"/>
        <w:spacing w:after="0" w:line="251"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management of the business or operations of an infrastructure asset may be contracted to a third-party management company unaffiliated with us. Although it would be possible to replace any such operator, the failure of such an operator to adequately perform its duties or to act in ways that are in our best interest, or the breach by an operator of applicable agreements or laws, rules and regulations, could have an adverse effect on the investment’s financial condition or results of operations. Infrastructure investments may involve the subcontracting of design and construction activities in respect of projects, and as a result the investments we make on behalf of clients or we recommend to our clients are subject to the risks that contractual provisions passing liabilities to a subcontractor could be ineffective, the subcontractor fails to perform services which it has agreed to perform and the subcontractor becomes insolvent.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Infrastructure investments often involve an ongoing commitment to municipal, state, federal or foreign government or regulatory agencies. The nature of these obligations exposes the investments we make on behalf of clients or we recommend to our clients to a higher level of regulatory control than typically imposed on other businesses and may require complex government licenses, concessions, leases or contracts, which may be difficult to obtain or maintain and which may restrict operations of assets in a way that maximizes cash flows and profitability, and are subject to special risks such as sovereign risks, take actions and expropriation. Infrastructure investments may require operators to manage such investments and such operators’ failure to comply with laws, including prohibitions against bribing of government officials, may adversely affect the value of such investments and cause serious reputational and legal harm. Revenues for such investments may rely on contractual agreements for the provision of services with a limited number of counterparties and are consequently subject to counterparty default risk. The operations and cash flow of infrastructure investments are also more sensitive to inflation and, in certain cases, commodity price risk. Furthermore, services provided by infrastructure investments may be subject to rate regulations by government entities that determine or limit prices that may be charged. Similarly, users of applicable services or government entities in response to such users may react negatively to any adjustments in rates and thus reduce the profitability of such infrastructure investments.</w:t>
      </w:r>
    </w:p>
    <w:p>
      <w:pPr>
        <w:spacing w:after="0" w:line="197"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substantial growth of our business in recent years may be difficult to sustain, as it may place significant demands on our resources and employees and may increase our expenses.</w:t>
      </w:r>
    </w:p>
    <w:p>
      <w:pPr>
        <w:spacing w:after="0" w:line="169"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19"/>
          <w:szCs w:val="19"/>
          <w:color w:val="auto"/>
        </w:rPr>
        <w:t>The substantial growth of our business has placed, and if it continues, will continue to place, significant demands on our infrastructure, our investment team and other employees, and will increase our expenses. We will need to continue to invest in our human resources and our infrastructure as a result of the increasingly complex investment management industry, increasing sophistication of clients and our expansion into new jurisdictions. In addition, our newer private wealth platform has and will require ongoing development of new infrastructure. Legal and regulatory developments, including increasing levels of regulation outside of the United States, also contribute to the increasing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also poses challenges. In addition, our efforts to retain or attract qualified investment or operational professionals may result in significant additional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enter into new lines of business, which may result in additional risks and uncertainties in our business.</w:t>
      </w:r>
    </w:p>
    <w:p>
      <w:pPr>
        <w:spacing w:after="0" w:line="2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We currently generate substantially all of our revenue from asset management and advisory services. However, we may grow our business by offering additional products and services and by entering into new lines of business.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core businesses. In addition, we may from time to time explore opportunities to grow our business via acquisitions, partnerships, investments or other strategic transactions. We cannot assure you that we will successfully identify, negotiate, complete or integrate such transactions, or that any completed transactions will produce favorable financial results.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Entry into certain lines of business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spacing w:after="0" w:line="17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long-term agreements that provide for us to acquire all the equity interests of our asset class entities that we do not currently own.</w:t>
      </w:r>
    </w:p>
    <w:p>
      <w:pPr>
        <w:spacing w:after="0" w:line="16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we entered into transactions agreements with each of SRA, SRE, and SPD (the “Asset Class Entities”). The transaction agreements provide a path to us owning all of the outstanding equity interests of SRA, SRE and SPD. The transaction agreements provide for, among other things and subject to the terms and conditions therein, the exchange of the sellers’ equity interests in each Asset Class Entity for a combination of (i) newly-created Class D equity interests in StepStone Group LP, with terms substantially similar to the existing Class C units, in the case of SRE and SRA, or shares of our Class A common stock, in the case of SPD and (ii) cash, in up to ten annual exchanges beginning in 2024 (increased to up to fifteen annual exchanges in certain circumstances in case of the sellers of SRA equity interests).</w:t>
      </w:r>
    </w:p>
    <w:p>
      <w:pPr>
        <w:spacing w:after="0" w:line="18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The portion of each Asset Class Entity’s equity interests to be acquired in each annual exchange is set forth in an exchange schedule attached to the applicable transaction agreement and is approximately 5% of each Asset Class Entity on each contemplated annual exchange date. The amount of consideration to be delivered will be calculated using exchange ratios determined each year based on a formula establishing an assumed value of each Asset Class Entity based on its estimated adjusted net income, relative to an adjusted trading multiple for the Class A common stock relative to our estimated adjusted net income.</w:t>
      </w:r>
    </w:p>
    <w:p>
      <w:pPr>
        <w:spacing w:after="0" w:line="192"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9"/>
          <w:szCs w:val="19"/>
          <w:color w:val="auto"/>
        </w:rPr>
        <w:t>Because the amount of consideration to be paid will be determined based on future adjusted net income and trading values, we do not know whether any particular exchange will be accretive to our existing shareholders and can make no assurances that the exchanges will</w:t>
      </w:r>
    </w:p>
    <w:p>
      <w:pPr>
        <w:spacing w:after="0" w:line="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result in enhanced cash flows or results of operations. In addition, because each exchange will be subject to closing conditions and regulatory approvals, we cannot assure you that any particular annual exchange will occur on the contemplated timeline or at all.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Under our option agreement with respect to SPW, we may purchase certain profits interests of SPW and the purchase price for such purchases may be substantial.</w:t>
      </w:r>
    </w:p>
    <w:p>
      <w:pPr>
        <w:spacing w:after="0" w:line="16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In November 2022, we entered into arrangements under which certain members of the SPW management team received a profits interest in SPW and concurrently entered into an option agreement which provides that (i) 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up to 75% of the consideration in units of the Partnership, each to be exchangeable into shares of our Class A common stock, and, in either case, rights under one or more tax receivable agreements. If the put is exercised, or if we exercise our call, the consideration under the option agreement may be substantial. We may need to seek equity or debt financing to fund the applicable exercise price.</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As of March 31, 2025, based on the fair value of the liability classified awards, the estimated minimum and maximum amount of cash that would be potentially payable to settle the liability in the event of a call or put was $165.3 million and $661.1 million, respectively. The assumptions used in the fair value analysis are inherently subjective; therefore, the ultimate settlement amount for the liability classified awards may differ materially from the current estimate.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acquire additional businesses or assets or form joint ventures.</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As part of our business strategy, we may pursue additional acquisitions of complementary businesses or assets or seek to enter into joint ventures. These acquisitions or joint ventures would be intended to leverage our existing operations and industry experience or increase our product offerings. The success of any acquisitions, joint ventures or other investments will depend on our ability to identify, negotiate, complete and, in the case of acquisitions, integrate those transactions and, if necessary, obtain satisfactory financing to fund those transactions. We may not realize the anticipated benefits of any acquisition, joint venture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or integration may not succeed, leading to a failure to realize anticipated benefits. Any acquisitions or investments made by us also could harm our results of operations, including as a result of significant write-offs or the incurrence of debt and contingent liabilities. In addition, if we choose to issue equity to fund an acquisition, our stockholders may experience dilution.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or future indebtedness may expose us to substantial risks.</w:t>
      </w:r>
    </w:p>
    <w:p>
      <w:pPr>
        <w:spacing w:after="0" w:line="22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We are party to a Credit Agreement with JPMorgan Chase Bank, N.A. and certain other lenders party thereto. In fiscal 2025, we issued $175 million in Series A senior notes which mature in October 2029. See “Management’s Discussion and Analysis of Financial Condition and Results of Operations—Liquidity and Capital Resources—Revolving Credit Facility” and note 9 to our consolidated financial statements included elsewhere in this annual report for more information. Borrowings under the Credit Agreement and the Senior Notes, or any future debt we undertake,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will not be available for our operations, distributions, dividends or other purposes. Any substantial decrease in net operating cash flows or any substantial increase in expenses could make it difficult for us to meet our debt service requirements or force us to modify our operations. Restrictive covenants in agreements and instruments governing our current and future debt may adversely affect our ability to operate our business or limit our ability to engage in certain transactions or activities, including paying dividends or making other distributions on our Class A common stock. We cannot assure you that we will be able to maintain leverage levels in compliance with such covenants. Any failure to comply with these financial and other covenants, if not waived, could cause a default or event of default under such indebtedness.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in using custodians, counterparties, administrators and other agents.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clients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17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or the broader market, which may in turn expose us to significant losses.</w:t>
      </w:r>
    </w:p>
    <w:p>
      <w:pPr>
        <w:spacing w:after="0" w:line="19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spacing w:after="0" w:line="172"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9"/>
          <w:szCs w:val="19"/>
          <w:color w:val="auto"/>
        </w:rPr>
        <w:t>In the event of the insolvency or bankruptcy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Industry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investment management and investment advisory business is intensely competitive.</w:t>
      </w:r>
    </w:p>
    <w:p>
      <w:pPr>
        <w:spacing w:after="0" w:line="2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The investment management and investment advisory business is intensely competitive, with competition based on a variety of factors, including investment performance, the quality of service provided to clients, brand recognition and business reputation. We compete with a variety of traditional and private markets managers, commercial banks, investment banks and other financial institutions. Many factors affect our ability to compete successfully, including:</w:t>
      </w:r>
    </w:p>
    <w:p>
      <w:pPr>
        <w:spacing w:after="0" w:line="172"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have more relevant experience, greater financial and other resources and more personnel than we do;</w:t>
      </w:r>
    </w:p>
    <w:p>
      <w:pPr>
        <w:spacing w:after="0" w:line="229" w:lineRule="exact"/>
        <w:rPr>
          <w:rFonts w:ascii="Times New Roman" w:cs="Times New Roman" w:eastAsia="Times New Roman" w:hAnsi="Times New Roman"/>
          <w:sz w:val="20"/>
          <w:szCs w:val="20"/>
          <w:color w:val="auto"/>
        </w:rPr>
      </w:pPr>
    </w:p>
    <w:p>
      <w:pPr>
        <w:ind w:left="660" w:right="600" w:hanging="328"/>
        <w:spacing w:after="0" w:line="269"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we expect, allocation of assets to private markets investment strategies increases, there may be increased competition for private markets investments and access to fund managers;</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clients may prefer to invest with private partnerships rather than a public company; and</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industry participants from time to time recruit our investment professionals and other employees away from us.</w:t>
      </w:r>
    </w:p>
    <w:p>
      <w:pPr>
        <w:spacing w:after="0" w:line="216"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auto"/>
        </w:rPr>
        <w:t>This competitive pressure could adversely affect our ability to make successful investments and restrict our ability to raise future funds, either of which would materially and adversely affect our business, financial condition and results of operations.</w:t>
      </w:r>
    </w:p>
    <w:p>
      <w:pPr>
        <w:spacing w:after="0" w:line="142"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w:t>
      </w:r>
    </w:p>
    <w:p>
      <w:pPr>
        <w:spacing w:after="0" w:line="159"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The global financial markets and business climate have recently deteriorated and may continue to deteriorate, including due to continued rising interest rates, ongoing high inflation, reduced availability of credit, regional and international bank failures, changes in laws and regulation, trade policies, terrorism or political uncertainty, war (including the ongoing Russia-Ukraine and Middle East conflicts), and potential recession. For example, while inflation in the U.S. has stabilized, it remains higher than pandemic levels and could increase. In addition, heightened competition for workers, supply chain issues and rising energy and commodity prices have contributed to increasing wages and other inputs, which may put pressure on the profit margins of portfolio companies within our private market funds. Additionally, volatility and disruption in the equity and credit markets can adversely affect the portfolio companies in which private markets funds invest and adversely affect the investment performance of the StepStone Funds and advisory accounts.</w:t>
      </w:r>
    </w:p>
    <w:p>
      <w:pPr>
        <w:spacing w:after="0" w:line="1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extent and impact of any sanctions imposed in connection with geopolitical conflicts may also cause additional financial market volatility and impact the global economy. For example, sanctions related to Russia’s invasion of Ukraine or potential measures targeting other regions can disrupt global trade and supply chains. Additionally, recently the U.S. has instituted new economic and trade sanctions against China, in response to which China issued countermeasures against U.S. companies. The restrictions on investment in and trade with China may have a negative effect on some of our portfolio companies along with creating weakness in the global economy.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Our ability to manage our exposure to market conditions is limited. Market deterioration could cause us, the StepStone Funds we manage or the funds in which they invest to experience reduced liquidity, earnings and cash flow, recognize impairment charges, or face challenges in raising additional capital, obtaining investment financing and making investments on attractive terms. Adverse market conditions can also affect our ability and the ability of funds in which we and our clients invest to liquidate positions in a timely and efficient manner. More costly and restrictive financing also may adversely affect the investment returns of our co-investments in leveraged buyout transactions and, therefore, adversely affect the results of operations and financial condition of our co-investment funds.</w:t>
      </w:r>
    </w:p>
    <w:p>
      <w:pPr>
        <w:spacing w:after="0" w:line="17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Our business may generate lower revenue as a result of recent and prospective economic contractions, decreases in equity markets and tightening of global credit markets. These events may result in reduced opportunities to find suitable investments and make it more difficult for us, or for the funds in which we and our clients invest, to exit and realize value from existing investments, potentially resulting in a decline in the value of the investments held in our clients’ portfolios. Such a decline could cause our revenue and net income to decline by causing some of our clients to reduce their investments in private markets in favor of investments they perceive as offering greater opportunity or lower risk, which would result in lower fees being paid to us.</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These events may also reduce the commitments our clients are able to devote to private markets investments generally and make it more difficult for the funds in which we invest to obtain funding for additional investments at attractive rates, which would further reduce our profitability.</w:t>
      </w:r>
    </w:p>
    <w:p>
      <w:pPr>
        <w:spacing w:after="0" w:line="18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Our profitability may also be adversely affected by our fixed costs and the possibility that we would be unable to reduce other costs within a time frame sufficient to match any decreases in revenue relating to changes in market and economic conditions. If our revenue declines without a commensurate reduction in our expenses, our net income will be lower.</w:t>
      </w:r>
    </w:p>
    <w:p>
      <w:pPr>
        <w:spacing w:after="0" w:line="168"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20"/>
          <w:szCs w:val="20"/>
          <w:color w:val="auto"/>
        </w:rPr>
        <w:t>In addition, regulatory oversight and enforcement may become more rigorous for public companies in general, and for the financial services industry in particular, as a result of the recent volatility in the financial markets. See “—Evolving laws and government regulations could adversely affect us.”</w:t>
      </w:r>
    </w:p>
    <w:p>
      <w:pPr>
        <w:spacing w:after="0" w:line="157"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 major public health crisis, such as COVID-19 pandemic or a similar pandemic, could again severely disrupt the global financial markets and business climate and adversely affect our business, financial condition and results of operations.</w:t>
      </w:r>
    </w:p>
    <w:p>
      <w:pPr>
        <w:spacing w:after="0" w:line="14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A major public health crisis can have unpredictable and adverse impacts on global, national and local economies. Disruptions to commercial activity (such as the imposition of quarantines or travel restrictions) or, more generally, a failure to contain or effectively manage a public health crisis, has, and may in the future, adversely impact our business activity and that of the StepStone Funds. For example, such disruptions have adversely affected, and in the future could again adversely affect, our ability to effectively identify, monitor, make or dispose of investments. Additionally, while restrictions have generally been lifted globally, and the World Health Organization has declared the end of the COVID-19 global health emergency, the COVID-19 pandemic contributed, and any future public health crisis could contribute, to extreme volatility in financial markets. Such volatility could adversely affect the business of StepStone and the StepStone Funds and the portfolio companies in which they invest, all of which could have material and adverse effect on our performance.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operate in a heavily regulated industry and any failure to comply with the government regulations to which we are subject could adversely affect us.</w:t>
      </w:r>
    </w:p>
    <w:p>
      <w:pPr>
        <w:spacing w:after="0" w:line="169" w:lineRule="exact"/>
        <w:rPr>
          <w:sz w:val="20"/>
          <w:szCs w:val="20"/>
          <w:color w:val="auto"/>
        </w:rPr>
      </w:pPr>
    </w:p>
    <w:p>
      <w:pPr>
        <w:ind w:right="320" w:firstLine="648"/>
        <w:spacing w:after="0" w:line="276" w:lineRule="auto"/>
        <w:rPr>
          <w:sz w:val="20"/>
          <w:szCs w:val="20"/>
          <w:color w:val="auto"/>
        </w:rPr>
      </w:pPr>
      <w:r>
        <w:rPr>
          <w:rFonts w:ascii="Times New Roman" w:cs="Times New Roman" w:eastAsia="Times New Roman" w:hAnsi="Times New Roman"/>
          <w:sz w:val="19"/>
          <w:szCs w:val="19"/>
          <w:color w:val="auto"/>
        </w:rPr>
        <w:t>We are subject to numerous regulations that may impact our business model. In the United States, our advisory and investment management businesses are subject to regulation by the SEC, the Commodity Futures Trading Commission, the Internal Revenue Service (the “IRS”) and other regulatory agencies, pursuant to, among other laws, the Investment Advisers Act, the Investment Company Act, the Securities Act, the Internal Revenue Code of 1986, as amended, (the “Code”), the Commodity Exchange Act, and the Exchange Act.</w:t>
      </w:r>
    </w:p>
    <w:p>
      <w:pPr>
        <w:spacing w:after="0" w:line="1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Partnership, along with certain of our consolidated subsidiaries, is registered as an investment adviser with the SEC and is subject to the requirements and regulations of the Investment Advisers Act. Such requirements include, among other things, maintaining an effective compliance program, restrictions on performance fees, solicitation arrangements and marketing materials, allocation of investments, recordkeeping, reporting requirements, disclosure requirements, limitations on agency cross and principal transactions between an adviser and their advisory clients, as well as fiduciary duties and general anti-fraud prohibitions. A failure to comply with the obligations imposed by the Investment Advisers Act could result in investigations, sanctions and reputational damage, and could materially and adversely affect our business, financial condition, results of operations and business reputation.</w:t>
      </w:r>
    </w:p>
    <w:p>
      <w:pPr>
        <w:spacing w:after="0" w:line="17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SEC has increased its regulation and scrutiny of the asset management and private equity industries in recent years, focusing on the private equity industry’s fees, allocation of expenses to funds, allocation of fund investment opportunities, disclosures to clients, the allocation of broken-deal expenses, the management of conflicts of interest disclosures, valuation practices and other fiduciary obligations. The SEC has also recently fined financial services firms, including investment advisers, for insufficient monitoring of off-channel communications. The lack of readily ascertainable market prices for many of the investments made by the StepStone Funds or the funds in which we invest could subject our valuation policies and processes to increased scrutiny by the SEC.</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231F20"/>
        </w:rPr>
        <w:t>In May 2024, the SEC adopted amendments to Regulation S-P (the privacy regulations applicable to financial institutions, including investment advisers) that will expand the scope of the regulation and mandate notification to clients and customers in the event of privacy breaches. The SEC has also adopted disclosure rules related to cybersecurity applicable to public companies. In addition, the SEC and FinCEN have recently jointly adopted a new rule that will require investment advisers to adopt formal anti-money laundering and customer identification programs by the end of 2025. Bringing our firm into compliance with these new rules (and any others adopted by the SEC), could result in a significant increase in the compliance risks and regulatory burden of operating our business.</w:t>
      </w:r>
    </w:p>
    <w:p>
      <w:pPr>
        <w:spacing w:after="0" w:line="192"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9"/>
          <w:szCs w:val="19"/>
          <w:color w:val="auto"/>
        </w:rPr>
        <w:t>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clients or fail to gain new clients. Additionally, legislation, including proposed legislation regarding executive compensation and taxation of carried interest, may adversely affect our ability to attract and retain key personnel. See “Business—Regulatory Environment.”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19"/>
          <w:szCs w:val="19"/>
          <w:color w:val="auto"/>
        </w:rPr>
        <w:t>To the extent that the Partnership is a “fiduciary” under the Employee Retirement Income Security Act of 1974, as amended (“ERISA”), with respect to benefit plan clients, it is subject to ERISA, and to regulations promulgated thereunder. ERISA and applicable provisions of the Code impose certain duties on persons who are fiduciaries under ERISA, prohibit certain transactions involving ERISA plan clients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spacing w:after="0" w:line="164"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9"/>
          <w:szCs w:val="19"/>
          <w:color w:val="auto"/>
        </w:rPr>
        <w:t>As noted in “Business—Regulatory Environment—Foreign Regulation,” we provide investment advisory and other services and raise funds in a number of countries and jurisdictions outside the United States. We continue to assess the impact of evolving regulatory developments outside of the United States on our business including, but not limited to, the revised EU regime for alternative investment fund managers, the new EU anti-money laundering and counter-terrorist financing regime, EU rules relating to digital operational resilience for the financial sector and the new EU framework for the collation and publication of sustainability information in annual reporting.</w:t>
      </w:r>
    </w:p>
    <w:p>
      <w:pPr>
        <w:spacing w:after="0" w:line="157" w:lineRule="exact"/>
        <w:rPr>
          <w:sz w:val="20"/>
          <w:szCs w:val="20"/>
          <w:color w:val="auto"/>
        </w:rPr>
      </w:pPr>
    </w:p>
    <w:p>
      <w:pPr>
        <w:jc w:val="both"/>
        <w:ind w:right="380" w:firstLine="648"/>
        <w:spacing w:after="0" w:line="276" w:lineRule="auto"/>
        <w:rPr>
          <w:sz w:val="20"/>
          <w:szCs w:val="20"/>
          <w:color w:val="auto"/>
        </w:rPr>
      </w:pPr>
      <w:r>
        <w:rPr>
          <w:rFonts w:ascii="Times New Roman" w:cs="Times New Roman" w:eastAsia="Times New Roman" w:hAnsi="Times New Roman"/>
          <w:sz w:val="19"/>
          <w:szCs w:val="19"/>
          <w:color w:val="auto"/>
        </w:rPr>
        <w:t>In addition, the European Union’s General Data Protection Regulation (the “GDPR”) and the California Consumer Privacy Act (“CCPA”) impose stringent data protection requirements, and we are also subject to additional national and state privacy laws. There are substantial financial penalties for breach of the GDPR, including up to the higher of 20 million Euros or 4% of group annual worldwide turnover. Non-compliance with GDPR, CCPA or similar regulation enacted elsewhere therefore represents a serious risk to our business.</w:t>
      </w:r>
    </w:p>
    <w:p>
      <w:pPr>
        <w:spacing w:after="0" w:line="17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private wealth investment platform is subject to additional regulatory requirements that could adversely impact its profitability. Certain U.S. funds we offer to private wealth investors are registered investment companies or business development companies under the Investment Company Act (the “Registered Funds”) and we expect that additional funds we offer will also be Registered Funds under the Investment Company Act or applicable laws in other jurisdictions. The Investment Company Act and the rules thereunder contain detailed parameters for the organization and operation of our Registered Funds. Among other things, the Investment Company Act and the rules thereunder limit or prohibit transactions with affiliates, impose limitations on the issuance of debt and equity securities, generally prohibit the issuance of options and impose stringent governance and board independence requirements. In addition, we depend on third parties to assist us in complying with regulatory obligations with respect to our Registered Funds.</w:t>
      </w:r>
    </w:p>
    <w:p>
      <w:pPr>
        <w:spacing w:after="0" w:line="182"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0"/>
          <w:szCs w:val="20"/>
          <w:color w:val="auto"/>
        </w:rPr>
        <w:t>Requirements imposed by the Investment Company Act, including limitations on capital structure, the ability to transact business with affiliates and the ability to compensate senior employees, or the failure of our third-party vendors to assist us with required compliance could materially and adversely affect our businesses, financial condition and results of operations.</w:t>
      </w:r>
    </w:p>
    <w:p>
      <w:pPr>
        <w:spacing w:after="0" w:line="161"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In addition, if we fail to comply with any of the regulations that we are subject to, we could be subject to enforcement actions, which may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Evolving laws and government regulations could adversely affect us.</w:t>
      </w:r>
    </w:p>
    <w:p>
      <w:pPr>
        <w:spacing w:after="0" w:line="22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the StepStone Funds, or on private markets funds generally, of future regulation, or of changes in the interpretation and enforcement of existing regulation, could have an adverse effect on the StepStone Funds’ investment strategies or our business model. Policy changes and regulatory reform by the U.S. federal government may create regulatory uncertainty for our funds’ portfolio companies and our investment strategies and adversely affect the profitability of the StepStone Funds’ portfolio companies.</w:t>
      </w:r>
    </w:p>
    <w:p>
      <w:pPr>
        <w:spacing w:after="0" w:line="19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Ongoing political developments could adversely impact our investment management and investment advisory businesses. The financial services industry is currently experiencing an uncertain political and regulatory environment, under the newly appointed U.S. presidential administration. While there is currently a regulatory freeze on rulemaking pending review by newly appointed agency heads, the current administration has signaled its intent to revisit and potentially roll back certain regulatory initiatives enacted under the previous administration while simultaneously increasing scrutiny on areas such as foreign investment, national security, and the use of emerging technologies. The current administration and the current leadership of the SEC have indicated that they intend to modify or repeal certain regulations perceived as burdensome to private fund advisers, particularly those related to sustainability investing and cybersecurity. However, the administration has also proposed new rules aimed at increasing transparency and accountability, such as expanded disclosure requirements for private fund advisers and enhanced oversight of investment practices involving artificial intelligence and digital assets. The SEC and other regulatory bodies are expected to propose additional changes in the future. Any such changes, including with modifications, whether enacted under current or future leadership, could have a significant effect on private funds and private fund advisers and their operations, including increasing compliance burdens and regulatory costs, restrictions on the ability to receive expense, indemnification and other cost reimbursements, and heightened risk of regulatory enforcement action such as public sanctions, restrictions on activities, fines and reputational damage. Additionally, there is a growing focus on digital asset regulation, with new rules expected to impact the use of cryptocurrencies and blockchain technologies in private fund operations. Any of the foregoing could lead to further regulatory uncertainty, result in changes to our operations and could materially impact our funds and/or their investments (including the funds in which the StepStone Funds and our clients invests) and/or us, including by causing us to incur additional expenses.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Governmental policy changes and regulatory or tax reform could also have a material effect on our funds. For example, regulatory or tax reform in jurisdictions where we may be conducting business (including jurisdictions in which we have established StepStone Funds, such as the Cayman Islands) and jurisdictions in which our clients or investors in StepStone Funds are located may increase administrative costs, increase taxes borne by StepStone Funds or our clients or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19"/>
          <w:szCs w:val="19"/>
          <w:color w:val="auto"/>
        </w:rPr>
        <w:t>Recently, the United States has imposed tariffs on various products imported into the United States. These tariffs have resulted in, and may continue to trigger, retaliatory actions by affected countries, including the imposition of tariffs on the United States by other countries. Trade policy has been a central focus, with renewed scrutiny on trade relationships with China and efforts to renegotiate or withdraw from key agreements such as the United States-Mexico-Canada Agreement (USMCA). This shift has included the potential for additional tariffs, including on Mexican, Canadian and Chinese goods, targeted sanctions, and restrictions on investments linked to industries deemed critical to U.S. national security. Certain foreign governments, such as China, Canada and Mexico, have instituted or are considering imposing trade sanctions on certain U.S. goods and denying U.S. companies access to critical raw materials. Governmental actions related to the imposition of tariffs, sanctions or other trade barriers or changes to international trade agreements or policies, such as USMCA, could increase costs, decrease margins, reduce the competitiveness of products and services offered by current and future portfolio companies and adversely affect the revenues and profitability of companies whose businesses rely on goods imported from outside of the United States. Additionally, there may be potential future U.S. measures targeting supply chain dependencies on China, including additional restrictions on technology exports and proposed incentives to relocate manufacturing to the United States or allied nations. If we do not adequately monitor and adapt sufficiently to changes in policy and the regulations to which we are or may become subject, we could be subject to enforcement actions, which may materially and adversely affect our businesses, financial condition and results of operations.</w:t>
      </w:r>
    </w:p>
    <w:p>
      <w:pPr>
        <w:spacing w:after="0" w:line="181" w:lineRule="exact"/>
        <w:rPr>
          <w:sz w:val="20"/>
          <w:szCs w:val="20"/>
          <w:color w:val="auto"/>
        </w:rPr>
      </w:pPr>
    </w:p>
    <w:p>
      <w:pPr>
        <w:ind w:right="8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Future changes to tax laws or our effective tax rate could materially adversely affect our company and reduce net returns to our stockholders.</w:t>
      </w:r>
    </w:p>
    <w:p>
      <w:pPr>
        <w:spacing w:after="0" w:line="142"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Base Erosion and Profit Shifting (“BEPS”) Project 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or the taxation of partnerships and other passthrough entities. In addition, the Group of Twenty, the OECD, the U.S. Congress and Treasury Department and other government agencies in jurisdictions where we and our affiliates do business have focused on issues related to the taxation of multinational corporations, including, but not limited to, transfer pricing, country-by-country reporting and base erosion. The OECD also recently finalized guidelines that recommend certain multinational enterprises be subject to a minimum 15% tax rate, effective from 2024. This minimum tax and several of the proposed measures are potentially relevant to some of our operating entities and investments and could have an adverse tax impact on our funds, investors and/or our funds’ portfolio companies. As a result, the tax laws in the United States and other countries in which we and our affiliates do business could change on a prospective or retroactive basis, and any such changes could have an adverse effect on our worldwide tax liabilities, business, financial condition and results of operations. Some member countries have been moving forward on the BEPS agenda but, because timing of implementation and the specific measures adopted will vary among participating states, significant uncertainty remains regarding the impact of BEPS proposals. If implemented, these proposals could result in a loss of tax treaty benefits and increased taxes on income from our operations and/or investments.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stockholders, and increase the complexity, burden and cost of tax compliance.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80" w:firstLine="648"/>
        <w:spacing w:after="0" w:line="251" w:lineRule="auto"/>
        <w:rPr>
          <w:sz w:val="20"/>
          <w:szCs w:val="20"/>
          <w:color w:val="auto"/>
        </w:rPr>
      </w:pPr>
      <w:r>
        <w:rPr>
          <w:rFonts w:ascii="Times New Roman" w:cs="Times New Roman" w:eastAsia="Times New Roman" w:hAnsi="Times New Roman"/>
          <w:sz w:val="20"/>
          <w:szCs w:val="20"/>
          <w:color w:val="auto"/>
        </w:rPr>
        <w:t>Our businesses are subject to income taxation in the United States, as well as in many tax jurisdictions throughout the world. Tax rates in these jurisdictions may be subject to significant change. For example, the Inflation Reduction Act of 2022 imposes, among other things, a new excise tax on stock repurchases which could adversely impact the amount and/or timing of tax we may be required to pay. If our effective tax rate increases, our results of operations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required to pay additional taxes under the Centralized Partnership Audit Regime.</w:t>
      </w:r>
    </w:p>
    <w:p>
      <w:pPr>
        <w:spacing w:after="0" w:line="22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9"/>
          <w:szCs w:val="19"/>
          <w:color w:val="auto"/>
        </w:rPr>
        <w:t>For tax years beginning on or after January 1, 2018, the Partnership is subject to partnership audit rules enacted as part of the Bipartisan Budget Act of 2015 (the “Centralized Partnership Audit Regime”). Under the Centralized Partnership Audit Regime, any IRS audit of the Partnership would be conducted at the Partnership level, and if the IRS determines an adjustment, the default rule is that the Partnership would pay an “imputed underpayment” including interest and penalties, if applicable. The Partnership may instead elect to make a “push-out” election, in which case the partners for the year that is under audit would be required to take into account the adjustments on their own personal income tax returns. We will decide whether or not to cause the Partnership to make this election; however, there are circumstances in which the election may not be available and, in the case of an entity in which the Partnership directly or indirectly invests, such decision may be outside of our control. If the Partnership or an entity in which the Partnership directly or indirectly invests does not make this election, the then-current partners of the Partnership (including SSG) could economically bear the burden of the understatement.</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Audit adjustments for state or local tax purposes could similarly result in the Partnership (or any of its applicable subsidiaries or other entities in which the Partnership directly or indirectly invests) being required to pay or indirectly bear the economic burden of state or local taxes and associated interest, and penalties.</w:t>
      </w:r>
    </w:p>
    <w:p>
      <w:pPr>
        <w:spacing w:after="0" w:line="17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Federal, state and foreign anti-corruption and sanctions laws create the potential for significant liabilities and penalties and reputational harm.</w:t>
      </w:r>
    </w:p>
    <w:p>
      <w:pPr>
        <w:spacing w:after="0" w:line="1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We are subject to laws and regulations governing payments and contributions to political persons or other third parties, including restrictions imposed by the Foreign Corrupt Practices Act (“FCPA”) as well as trade sanctions and export control laws administered by the U.S. Department of Treasury’s Office of Foreign Assets Control (“OFAC”), the U.S. Department of Commerce and the U.S. Department of State. The FCPA is intended to prohibit bribery of foreign governments and their officials and political parties and requires public companies in the United States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affect a number of aspects of our business, including servicing existing clients, finding new clients, and sourcing new investments, as well as activities by the portfolio companies in our investment portfolio or other controlled investments.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Similar laws in non-U.S. jurisdictions, such as EU sanctions or the United Kingdom (“UK”) Bribery Act, as well as other applicable anti-bribery, anti-corruption, anti-money laundering, or sanction or other export control laws in the United States and abroad, may also impose stricter or more onerous requirements than the FCPA, OFAC, the U.S. Department of Commerce and the U.S. Department of State, and implementing them may disrupt our business or cause us to incur significantly more costs to comply with those laws. In addition, the U.S. and other countries have begun imposing sanctions on Russia in connection with the ongoing Russia-Ukraine conflict, which may impact us, StepStone Funds and our portfolio companies to a degree which remains uncertain. Different laws contain conflicting provisions and continue to evolve, making compliance with all laws more difficult. Because different interpretations for current sanctions law may exist, we could become involved in disputes with respect to actions taken in compliance with our understanding of such laws. If we fail to comply with these laws and regulations, we could face claims for damages, civil or criminal financial penalties, reputational harm, incarceration of our employees, restrictions on our operations and other liabilities, which could negatively affect our business, results of operations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promote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client confidence, any one of which could adversely affect our business prospects, financial condition and results of operations.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addition, we are subject to the UK Economic Crime and Corporate Transparency Act 2023 (“ECCTA”), which makes fundamental changes to the UK’s approach to tackling financial crime. Most significantly, ECCTA introduces new law governing the attribution of criminal liability to corporate entities, which came into force on December 26, 2023, and a new corporate offense of failure to prevent fraud, which will come into force on September 1, 2025. Guidance relating to the offense of failure to prevent fraud was published on November 6, 2024. Our compliance policies and procedures will need to be reviewed and updated in order to ensure we have appropriate systems and controls in place to cover these changes to the law. If appropriate systems and controls are not properly implemented, or if we fail to comply with any of the regulations that we are subject to, we could be subject to enforcement actions, which may materially and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investment advisers outside the United States could adversely affect our ability to operate our business.</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We provide investment advisory and other services and raise funds in a number of countries and jurisdictions outside the United States. In a number of these countries and jurisdictions, which include the UK, the EU, the EEA, Switzerland, Japan, Korea, Canada, Brazil, and Singapore,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Switzerland and the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As we expand into additional countries and jurisdictions, we may become subject to additional regulatory oversight and related compliance obligations. Failure to maintain compliance with applicable laws and regulations could result in regulatory intervention, adversely affect our business or ability to provide services to our clients and harm our reputation. In certain jurisdictions, including emerging markets jurisdictions, StepStone believes it operates appropriately under exceptions to applicable financial regulations. If, however, a regulator disagrees with our approach or interpretations, we could be subject to sanctions or fines and related reputational harm, or be limited in our ability to access such markets.</w:t>
      </w:r>
    </w:p>
    <w:p>
      <w:pPr>
        <w:spacing w:after="0" w:line="20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European Union Markets in Financial Instruments Directive II (“MiFID II”)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investment firms that are subject to MiFID II (including as applicable in the UK), we were required to implement revised policies and procedures to comply with MiFID II where relevant, including where certain rules have an extraterritorial impact on us. Compliance with MiFID II has, therefore, resulted in greater overall complexity, higher compliance, administration and operational costs, and less overall flexibility.</w:t>
      </w:r>
    </w:p>
    <w:p>
      <w:pPr>
        <w:spacing w:after="0" w:line="19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There have also been significant legislative developments affecting the private equity industry in Europe and there continues to be discussion regarding enhancing governmental scrutiny and/or increasing regulation of the private equity industry, which may have an adverse impact on the private equity industry in Europe (including by making it more difficult to raise capital from certain types of investors and otherwise imposing on private equity funds additional and costly regulatory compliance burdens), which could in turn adversely affect our business prospects, financial condition and results of operations.</w:t>
      </w:r>
    </w:p>
    <w:p>
      <w:pPr>
        <w:spacing w:after="0" w:line="19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These laws and regulations may affect our costs and manner of conducting business in one or more markets, the risks of doing business, the assets that we manage or advise, and our ability to raise capital from clients. Any failure by us to comply with either existing or new laws or regulations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We are subject to divergent views of investors and differing approaches by governmental authorities in respect of the incorporation of sustainability-related factors in our investment and portfolio management process as well as human capital management, which may affect certain investors’ decision to commit or recommit capital to, or constrain investment opportunities for, our funds or subject us to increased regulatory scrutiny and compliance costs.</w:t>
      </w:r>
    </w:p>
    <w:p>
      <w:pPr>
        <w:spacing w:after="0" w:line="188"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In recent years, certain investors have placed increasing importance on sustainability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clients have conditioned future capital commitments on the taking or refraining from taking of such actions. Such clients’ focus and activism related to sustainability and similar matters may constrain investment opportunities we evaluate for them. In addition, institutional clients may decide to not commit capital to future fundraises as a result of their assessment of our approach to and consideration of the sustainability-related cost of investments made by us. Conversely, certain investors have raised concerns as to whether the incorporation of sustainability-related factors in the investment and portfolio management process may be inconsistent with the fiduciary duty to maximize returns for investors. Anti-“ESG” sentiment has gained momentum across the United States, with several states having enacted or proposed “anti-ESG” policies, legislation or issued related legal opinions. For example, (i) boycott bills target financial institutions that “boycott” or “discriminate against” companies in certain industries and prohibit state entities from doing business with such institutions and/or investing the state’s assets (including pension plan assets) through such institutions; and (ii) ESG investment prohibitions require that state entities or managers/administrators of state investments make investments based solely on pecuniary factors without consideration of ESG factors. If fund investors subject to such legislation viewed our funds or sustainability practices as being in contradiction of such “anti-ESG” policies, legislation or legal opinions, even though such view or perception may not be accurate, we may not be able to maintain or increase the size of our funds or raise sufficient capital for new funds, which may adversely affect our revenues. In addition, a failure to successfully manage sustainability-related expectations may adversely affect our reputation or erode stakeholder trust.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There has also been increasing focus by governmental authorities, investors, customers, activists, the media, governmental and non-governmental organizations, and other stakeholders on a variety of human capital management matters. In January 2025, the current U.S. Presidential administration signed a number of executive orders focused on Diversity, Equity and Inclusion (“DEI”) programs, which include a broad mandate to eliminate federal DEI programs and a caution to the private sector to end what may be viewed as illegal discrimination and preferences. Some U.S. states have followed suit, similarly cautioning against practices which may be viewed as illegal discrimination and preferences. The Executive Orders also indicate upcoming compliance investigations of private entities, including publicly traded corporations, foundations with assets of $500 million or more and institutions of higher education with endowments exceeding $1 billion, and changes to federal contracting regulations. In May 2025, the U.S. Department of Justice (the “DOJ”) issued a memorandum announcing the Civil Rights Initiative, which aims to use the False Claims Act (the “FCA”) to investigate and “pursue claims against any recipient of federal funds that knowingly violates federal civil rights laws” via “racist preferences, mandates, ... and activities,” including DEI programs. The initiative covers all federal-funding recipients or contractors that certify compliance with civil rights laws, and will involve collaboration among federal and state law enforcement agencies. The memorandum directs divisions within the DOJ to establish partnerships with state attorneys general and local law enforcement to share information and coordinate enforcement activities and further highlights that Congress authorized private parties to litigate FCA claims and to share in any monetary recovery. A number of our contracts with state pensions require us to comply with all applicable state and federal laws and regulations. As a result of such developments, we may be increasingly subject to competing demands or expectations from different governmental authorities, regulators, clients, investors, and other stakeholders or third parties with divergent views and, if we fail to meet, or are perceived to fail to meet such competing demands or expectations, clients may reduce their investment with us and we may be subject to investigation, significant fines and penalties, and risk of litigation.</w:t>
      </w:r>
    </w:p>
    <w:p>
      <w:pPr>
        <w:spacing w:after="0" w:line="173"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9"/>
          <w:szCs w:val="19"/>
          <w:color w:val="auto"/>
        </w:rPr>
        <w:t>Sustainability and corporate responsibility matters have also been the subject of increased focus by regulators, including in the EU, the UK and the U.S. For example, the European Commission has adopted regulations as part of a package of legislative measures arising from its Action Plan on Sustainable Finance, which include, without limitation: (a) The Disclosure Regulation EU 2019/2088 regarding the introduction of transparency and disclosure obligations for investors, funds and asset managers in relation to sustainability, which took effect beginning on March 10, 2021 and (b) The Taxonomy Regulation EU 2020/852 regarding the introduction of EU-wide taxonomy of environmentally sustainable activities, which entered into force on July 12, 2020. These and other proposals have resulted in the Non-Financial Disclosure Regulation, EU Taxonomy Regulation and the EU Sustainable Finance Disclosure Regulation. These legislative developments require additional disclosures to clients with respect to sustainability and corporate responsibility factors, which may increase our compliance obligations and expenses, and could lead clients to not commit or recommit capital in our funds. Our EU-based business, as well as any global product sales into the EU, is subject to these requirements. In November 2023, the UK Financial Conduct Authority (“FCA”) published final rules on its Sustainable Disclosure Requirements (“SDR”), introducing new rules and guidance for asset managers to make mandatory disclosures at both the manager and product levels, which aim to address potential greenwashing risks through the introduction of sustainable investment labels, disclosure requirements and restrictions on the use of sustainability-related terms in product naming and marketing, as well as through the introduction of disclosures consistent with the recommendations of the Financial Stability Board’s Task Force on Climate-related Financial Disclosures (“TCFD”). The FCA has stated that it intends to further expand the SDR and labelling rules in the future. Further, the UK is expected to create UK Sustainability Disclosure Standards (“UK SDS”) based on the sustainable disclosure standards developed by the International Sustainability Standards Board (“ISSB”). In the likely event that divergent sustainable investing disclosure obligations arise between the U.S., UK and the EU, this may also present an increased compliance risk if we are required to comply with different regulatory standards. In the U.S., California passed legislation relating to greenhouse gas emissions, climate-related financial risk, and climate-related emissions claims and other states have proposed similar legislation, although the current U.S. presidential administration has identified deregulation of greenhouse gas emissions as a priority, including at the state level.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Additionally, a lack of harmonization globally in relation to sustainability and corporate responsibility-related legal and regulatory reform leads to a risk of fragmentation in group level priorities across global jurisdictions. This may create conflicts across our global business which could risk inhibiting our future implementation of, and compliance with, rapidly developing standards and requirements. In addition, our brand and reputation are associated with our public commitments to various corporate ESG initiatives, including our goals for sustainability. Any failure or perceived failure to achieve our disclosed commitments could harm our reputation and adversely affect our client relationships or our recruitment and retention efforts. Moreover, positions we take or do not take on social issues may be unpopular with some of our employees or with our clients or potential clients, which may in the future impact our ability to attract or retain employees or clients. While we strive to implement sustainability practices, there can be no assurance that we will be able to identify all sustainability and corporate responsibility issues or will be able to successfully implement our sustainability and corporate responsibility policies. In addition, the use of sustainability and corporate responsibility metrics in the investment process could be subjective and they are not subject to uniform standards, and, as such, there is no guarantee that we will be able to accurately assess and measure the sustainability and corporate responsibility risks and compliance of its investments and potential investments. Sustainability-based exclusionary criteria could result in a StepStone Fund foregoing opportunities to make certain investments when it might otherwise be advantageous to do so, and/or selling certain investments due to their sustainability and corporate responsibility characteristics when it might be disadvantageous to do so. Devoting additional resources to sustainability and corporate responsibility matters could increase the amount of expenses we or our investments are required to bear. For example, collecting, measuring, and reporting sustainability and corporate responsibility information and metrics can be costly, difficult and time consuming, is subject to evolving reporting standards, and can present numerous operational, reputational, financial, legal and other risks. If we do not successfully manage expectations across these varied stakeholder interests, it could erode stakeholder trust, impact our reputation, and constrain our investment opportunities. Given increased U.S. and European legal and regulatory focus on sustainability and corporate responsibility matters, failure to comply with applicable legal and regulatory changes may attract increased regulatory scrutiny of our business, and could result in fines and/or other sanctions being levied against us.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2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currently a “controlled company” within the meaning of the Nasdaq Global Select Market listing standards and, as a result, qualify for, and rely on, exemptions from certain corporate governance requirements. You will not have the same protections afforded to stockholders of companies that are subject to such requirements for as long as we qualify for such exemptions.</w:t>
      </w:r>
    </w:p>
    <w:p>
      <w:pPr>
        <w:spacing w:after="0" w:line="179"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19"/>
          <w:szCs w:val="19"/>
          <w:color w:val="auto"/>
        </w:rPr>
        <w:t>Holders of our Class B common stock continue to control a majority of the voting power of our outstanding common stock. So long as no Sunset (as defined below) has occurred and the Class B stockholders who are party to the Stockholders’ Agreement hold at least approximately 16.7% of all of the outstanding shares of the Company’s common stock, the Class B stockholders are expected to hold a majority of the Company’s outstanding voting power and thereby will control the outcome of matters submitted to a stockholder vote. As a result of the voting power held by those Class B stockholders who are party to the Stockholders’ Agreement, we currently qualify as a “controlled company” within the meaning of the corporate governance standards of the Nasdaq Global Select Market.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entirely by independent directors and (iii) the compensation committee be composed entirely of independent directors.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9"/>
          <w:szCs w:val="19"/>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At this time, the Company anticipates that the Sunset will occur on September 18, 2025.</w:t>
      </w:r>
    </w:p>
    <w:p>
      <w:pPr>
        <w:spacing w:after="0" w:line="181" w:lineRule="exact"/>
        <w:rPr>
          <w:sz w:val="20"/>
          <w:szCs w:val="20"/>
          <w:color w:val="auto"/>
        </w:rPr>
      </w:pPr>
    </w:p>
    <w:p>
      <w:pPr>
        <w:jc w:val="both"/>
        <w:ind w:right="60" w:firstLine="648"/>
        <w:spacing w:after="0" w:line="253" w:lineRule="auto"/>
        <w:rPr>
          <w:sz w:val="20"/>
          <w:szCs w:val="20"/>
          <w:color w:val="auto"/>
        </w:rPr>
      </w:pPr>
      <w:r>
        <w:rPr>
          <w:rFonts w:ascii="Times New Roman" w:cs="Times New Roman" w:eastAsia="Times New Roman" w:hAnsi="Times New Roman"/>
          <w:sz w:val="20"/>
          <w:szCs w:val="20"/>
          <w:color w:val="auto"/>
        </w:rPr>
        <w:t>We rely on and intend to continue to rely on some or all of these exemptions. As a result, we do not have a majority of independent directors, our compensation committee does not consist entirely of independent directors and our directors will not be nominated or selected entirely by independent directors. Accordingly, you will not have the same protections afforded to stockholders of companies that are subject to all of the corporate governance requirements of the Nasdaq Global Select Market, until we are no longer a controlled company and phase-in periods for compliance with non-controlled company governance provisions under Nasdaq rules have expired.</w:t>
      </w:r>
    </w:p>
    <w:p>
      <w:pPr>
        <w:spacing w:after="0" w:line="18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SSG depends on distributions from the Partnership to pay any dividends, if declared, taxes and other expenses, including payments under the Tax Receivable Agreements.</w:t>
      </w:r>
    </w:p>
    <w:p>
      <w:pPr>
        <w:spacing w:after="0" w:line="169"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SSG is a holding company and its only business is to act as the managing member of the General Partner, and its only material assets are Class A units and 100% of the interests in the General Partner. SSG does not have any independent means of generating revenue. We anticipate that the Partnership will continue to be treated as a partnership for U.S. federal income tax purposes and, as such, generally will not be subject to any entity-level U.S. federal income tax. Instead, taxable income will be allocated to the partners of the Partnership. Accordingly, SSG will be required to pay income taxes on its allocable share of any net taxable income of the Partnership.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In addition, the Partnership will reimburse SSG for corporate and other overhead expenses. If the amount of tax distributions to be made exceeds the amount of funds available for distribution, SSG will receive the full amount of its tax distribution before the other partners receive any distribution and the balance, if any, of funds available for distribution will be distributed to the other partners pro rata in accordance with their assumed tax liabilities. To the extent that SSG needs funds, and the Partnership is restricted from making such distributions under applicable laws or regulations, or is otherwise unable to provide such funds, it could materially and adversely affect SSG’s ability to pay dividends and taxes and other expenses, including payments under the Tax Receivable Agreements, and affect our liquidity and financial condition.</w:t>
      </w:r>
    </w:p>
    <w:p>
      <w:pPr>
        <w:spacing w:after="0" w:line="17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IRS might challenge the tax basis step-ups and other tax benefits we receive in connection with our IPO and the related transactions and in connection with additional acquisitions of Partnership units.</w:t>
      </w:r>
    </w:p>
    <w:p>
      <w:pPr>
        <w:spacing w:after="0" w:line="16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Partnership units held directly by the partners of the Partnership other than SSG, including members of our senior leadership team, may in the future be exchanged for shares of our Class A common stock or, at our election, cash. Similar to our initial purchase of Partnership units, those exchanges may also result in increases in the tax basis of the assets of the Partnership that otherwise would not have been available. These increases in tax basis are expected to increase (for tax purposes) SSG’s depreciation and amortization and, together with other tax benefits, reduce the amount of tax that SSG would otherwise be required to pay, although it is possible that the IRS might challenge all or part of that tax basis increases or other tax benefits, and a court might sustain such a challenge. SSG’s ability to achieve benefits from any tax basis increases or other tax benefits will depend upon a number of factors, as discussed below, including the timing and amount of our future income.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color w:val="auto"/>
        </w:rPr>
        <w:t>We will not be reimbursed for any payments previously made under the Tax Receivable Agreements if the basis increases or other tax benefits described above are successfully challenged by the IRS or another taxing authority. As a result, in certain circumstances, payments could be made under the Tax Receivable Agreements in excess of our ultimate cash tax savings.</w:t>
      </w:r>
    </w:p>
    <w:p>
      <w:pPr>
        <w:spacing w:after="0" w:line="16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 certain circumstances, payments under each Tax Receivable Agreement may be accelerated and/or significantly exceed the actual tax benefits, if any, that SSG actually realizes.</w:t>
      </w:r>
    </w:p>
    <w:p>
      <w:pPr>
        <w:spacing w:after="0" w:line="15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0"/>
          <w:szCs w:val="20"/>
          <w:color w:val="auto"/>
        </w:rPr>
        <w:t>Each Tax Receivable Agreement provides that if (i) SSG exercises its right to early termination of such Tax Receivable Agreement in whole (that is, with respect to all benefits due to all beneficiaries under such Tax Receivable Agreement) or in part (that is, with respect to some benefits due to all beneficiaries under such Tax Receivable Agreement), (ii) SSG experiences certain changes in control, (iii) such Tax Receivable Agreement is rejected in certain bankruptcy proceedings, (iv) SSG fails (subject to certain exceptions) to make a payment under such Tax Receivable Agreement within 180 days after the due date or (v) SSG materially breaches its obligations under such Tax Receivable Agreement, SSG will be obligated to make an early termination payment to holders of rights under such Tax Receivable Agreement equal to the present value of all payments that would be required to be paid by SSG under such Tax Receivable Agreement. The amount of such payments will be determined on the basis of certain assumptions in each Tax Receivable Agreement, including (i) the assumption that SSG would have enough taxable income in the future to fully utilize the tax benefit resulting from the tax assets that are the subject of such Tax Receivable Agreement, (ii) the assumption that any item of loss deduction or credit generated by a basis adjustment or imputed interest arising in a taxable year preceding the taxable year that includes an early termination will be used by SSG ratably from such taxable year through the earlier of (x) the scheduled expiration of such tax item or (y) 15 years; (iii) in the case of the Reorganization Tax Receivable Agreement, the assumption that any net operating loss (and similar items) inherited from certain pre-IPO institutional investors (the “Blocker Companies”), will be used by SSG ratably from the taxable year that includes an early termination through the earlier of (x) the scheduled expiration of such net operating loss (or similar item) or (y) 15 years (or longer, to the extent that SSG is prevented from fully utilizing such net operating loss (or similar item) under certain U.S. federal income tax rules); (iv) the assumption that any non-amortizable assets are deemed to be disposed of in a fully taxable transaction on the fifteenth anniversary of the earlier of the basis adjustment and the early termination date; (v) the assumption that U.S. federal, state and local tax rates will be the same as in effect on the early termination date, unless scheduled to change and, solely with respect to the Exchanges Tax Receivable Agreement; and (vi) the assumption that any units (other than those held by SSG)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SSG under such Tax Receivable Agreement at a rate equal to the lesser of (a) 6.5% and (b) the Secured Overnight Financing Rate, as reported by the Wall Street Journal (“SOFR”) plus 400 basis points.</w:t>
      </w:r>
    </w:p>
    <w:p>
      <w:pPr>
        <w:spacing w:after="0" w:line="20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Moreover, as a result of an elective early termination, a change in control or SSG’s material breach of its obligations under either Tax Receivable Agreement, SSG could be required to make payments under such Tax Receivable Agreement that exceed its actual cash savings under such Tax Receivable Agreement. Thus, SSG’s obligations under each Tax Receivable Agreement could have a substantial negative effect on its financial condition and liquidity and could have the effect of delaying, deferring or preventing certain mergers, asset sales, or other forms of business combinations or changes of control. We cannot assure you that we will be able to finance any such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Payments under each Tax Receivable Agreement will be based on the tax reporting positions that we will determine and the IRS or another tax authority may challenge all or part of the tax basis increases or the inheritance of tax attributes from the Blocker Companies, as well as other related tax positions we take, and a court could sustain such challenge. If any tax benefits that have given rise to payments under either Tax Receivable Agreement are subsequently disallowed, SSG would be entitled to reduce future amounts otherwise payable to a holder of rights under such Tax Receivable Agreement to the extent such holder has received excess payments. However, the required final and binding determination that a holder of rights under a Tax Receivable Agreement has received excess payments may not be made for a number of years following commencement of any challenge, and SSG will not be permitted to reduce its payments under a Tax Receivable Agreement until there has been a final and binding determination, by which time sufficient subsequent payments under the Tax Receivable Agreement may not be available to offset prior payments for disallowed benefits. SSG will not be reimbursed for any payments previously made under either Tax Receivable Agreement if the basis increases described above are successfully challenged by the IRS or another taxing authority. As a result, in certain circumstances, payments could be made under either Tax Receivable Agreement that are significantly in excess of the benefit that SSG actually realizes in respect of the increases in tax basis (and utilization of certain other tax benefits) and SSG may not be able to recoup those payments, which could adversely affect SSG’s financial condition and liquidity.</w:t>
      </w:r>
    </w:p>
    <w:p>
      <w:pPr>
        <w:spacing w:after="0" w:line="17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 certain circumstances, the Partnership will be required to make distributions to us and the existing partners of the Partnership, and the distributions that the Partnership will be required to make may be substantial.</w:t>
      </w:r>
    </w:p>
    <w:p>
      <w:pPr>
        <w:spacing w:after="0" w:line="15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Partnership is expected to continue to be treated as a partnership for U.S. federal income tax purposes and, as such, is not subject to U.S. federal income tax. Instead, taxable income will be allocated to partners, including SSG. Pursuant to the StepStone Limited Partnership Agreement, the Partnership will make tax distributions to its partners, including SSG, which generally will be pro rata based on the ownership of Partnership units, calculated using an assumed tax rate, to help each of the partners to pay taxes on that partner’s allocable share of the Partnership’s net taxable income. Under applicable tax rules, the Partnership is required to allocate net taxable income disproportionately to its partners in certain circumstances. Because tax distributions will be determined based on the partner who is allocated the largest amount of taxable income on a per unit basis and on an assumed tax rate that is the highest possible rate applicable to any partner, but will be made pro rata based on ownership of Partnership units, the Partnership will be required to make tax distributions that, in the aggregate, will likely exceed the amount of taxes that it would have paid if it were taxed on its net income at the assumed rate.</w:t>
      </w:r>
    </w:p>
    <w:p>
      <w:pPr>
        <w:spacing w:after="0" w:line="19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Funds used by the Partnership to satisfy its tax distribution obligations will not be available for reinvestment in our business. Moreover, the tax distributions the Partnership will be required to make may be substantial and may significantly exceed (as a percentage of the Partnership’s income) the overall effective tax rate applicable to a similarly situated corporate taxpayer. In addition, because these payments will be calculated with reference to an assumed tax rate, and because of the disproportionate allocation of net taxable income, these payments likely will significantly exceed the actual tax liability for many of the existing partners of the Partnership.</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As a result of potential differences in the amount of net taxable income allocable to us and to the existing partners of the Partnership, as well as the use of an assumed tax rate in calculating the Partnership’s distribution obligations, we may receive distributions significantly in excess of our tax liabilities and obligations to make payments under the Tax Receivable Agreements. We may choose to manage these excess distributions through a number of different approaches, including through the payment of dividends to our Class A common stockholders or by applying them to other corporate purposes.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fund withholding tax upon certain exchanges of Class B or Class D units into shares of Class A common stock by non-U.S. holders.</w:t>
      </w:r>
    </w:p>
    <w:p>
      <w:pPr>
        <w:spacing w:after="0" w:line="169"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In the event of a transfer by a non-U.S. transferor of an interest in a partnership that is engaged in a U.S. trade or business, the transferee generally must withhold tax in an amount equal to 10% of the amount realized (as determined for U.S. federal income tax purposes) by the transferor on such transfer absent an exception. Holders of Class B or Class D units include non-U.S. holders. The partners holding Class B or Class D units in the Partnership generally will be entitled to exchange such Class B or Class D units for shares of Class A common stock on a one-for-one basis or, at our election, for cash. To the extent withholding is required and we elect to deliver shares of Class A common stock (rather than cash), we may not have sufficient cash to satisfy such withholding obligation, and we may be required to incur additional indebtedness or sell shares of our Class A common stock in the open market to raise additional cash in order to satisfy our withholding tax obligations.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have tax and other liabilities attributable to our pre-IPO investors as a result of certain reorganization transactions.</w:t>
      </w:r>
    </w:p>
    <w:p>
      <w:pPr>
        <w:spacing w:after="0" w:line="22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Certain of our pre-IPO institutional investors held their interests in the Partnership through entities that were taxable as corporations for U.S. federal income tax purposes. Before the IPO, SSG formed a new, first-tier merger subsidiary with respect to each Blocker Company. Contemporaneously with the IPO, each merger subsidiary merged with and into the respective Blocker Company, with the Blocker Company surviving. Immediately thereafter, each Blocker Company merged with and into SSG, with SSG surviving. In the Blocker Mergers, the 100% owners of the Blocker Companies acquired an aggregate of 9,112,500 shares of newly issued Class A common stock and the Company acquired a corresponding amount of Partnership units. As the successor to these merged entities, SSG generally succeeded to and became responsible for any outstanding or historical tax or other liabilities of the merged entities, including any liabilities incurred as a result of the mergers described in the previous sentence. Any such liabilities for which SSG is responsible could have an adverse effect on our liquidity and financial condition.</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Pursuant to the regulations issued under Section 162(m) of the Code, SSG may not be permitted to deduct its distributive share of compensation expense to the extent that the compensation was paid by the Partnership to certain of SSG’s covered employees, potentially resulting in additional U.S. federal income tax liability for SSG and reducing cash available for distribution to SSG’s stockholders and/or for the payment of other expenses and obligations of SSG.</w:t>
      </w:r>
    </w:p>
    <w:p>
      <w:pPr>
        <w:spacing w:after="0" w:line="18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Section 162(m) of the Code disallows the deduction by any publicly held corporation of applicable employee compensation paid with respect to any covered employee to the extent that such compensation for the taxable year exceeds $1,000,000. A “covered employee” means any employee of the taxpayer if the employee (a) is the principal executive officer (“PEO”) or principal financial officer (“PFO”) of the taxpayer at any time during the taxable year, or was an individual acting in such a capacity, (b) was among the three highest compensated officers for the taxable year (other than the PEO and PFO) required to be disclosed in the proxy statement, (c) was among the five next highest compensated employees for the taxable year beginning with taxable years beginning after December 31, 2026, or (d) was a covered employee of the taxpayer (or any predecessor) for any preceding taxable year beginning after December 31, 2016 (other than as a result of clause (c) above). Pursuant to the regulations with respect to Section 162(m) of the Code issued by the IRS, SSG will not be permitted to deduct its distributive share of compensation expense allocated to it, to the extent that such distributive share plus the amount of any compensation paid directly by SSG exceeds $1,000,000 with respect to a covered employee, even if the Partnership, rather than SSG, pays the compensation to SSG’s covered employees. Accordingly, to the extent that SSG is disallowed a deduction for its distributive share of compensation expense under Section 162(m) of the Code, it may result in additional U.S. federal income tax liability for SSG and/or reduce cash available for distribution to SSG’s stockholders or for the payment of other expenses and obligations of SSG.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StepStone Group Inc. were deemed an “investment company” under the Investment Company Act of 1940 as a result of its ownership of the Partnership or the General Partner, applicable restrictions could make it impractical for us to continue our business as contemplated and could have a material adverse effect on our business.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 issuer will generally be deemed to be an “investment company” for purposes of the Investment Company Act if:</w:t>
      </w:r>
    </w:p>
    <w:p>
      <w:pPr>
        <w:spacing w:after="0" w:line="229" w:lineRule="exact"/>
        <w:rPr>
          <w:sz w:val="20"/>
          <w:szCs w:val="20"/>
          <w:color w:val="auto"/>
        </w:rPr>
      </w:pPr>
    </w:p>
    <w:p>
      <w:pPr>
        <w:ind w:left="660" w:right="20" w:hanging="328"/>
        <w:spacing w:after="0" w:line="283"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or holds itself out as being engaged primarily, or proposes to engage primarily, in the business of investing, reinvesting or trading in securities; or</w:t>
      </w:r>
    </w:p>
    <w:p>
      <w:pPr>
        <w:spacing w:after="0" w:line="146"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4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We believe that we are primarily engaged in the investment advisory service business, specifically that of providing customized investment solutions and advisory, and data services to our clients and not in the business of investing, reinvesting or trading in securities. We also believe that the primary source of income from each of our businesses is properly characterized as income earned in exchange for the provision of services. We hold ourselves out as an asset management firm and do not propose to engage primarily in the business of investing, reinvesting or trading in securities. Accordingly, we do not believe that StepStone Group Inc., the General Partner or the Partnership is an “orthodox” investment company as defined in section 3(a)(1)(A) of the Investment Company Act and described in the first bullet point above. Further, a majority of the Partnership’s assets consist of direct and indirect ownership interests as the general partner or managing member of the StepStone Funds we sponsor. We believe these interests in the StepStone Funds are not investment securities. The Partnership also will hold minority interests in certain operating subsidiaries that are consolidated on the Partnership’s financial statements as “variable interest entities.” See “Management’s Discussion and Analysis of Financial Condition and Results of Operations—Organizational Structure—Ownership of Our Businesses” for additional information regarding our variable interest entities. The Partnership’s interests in these subsidiaries may be considered investment securities under section 3(a)(1)(C) of the Investment Company Act. However, the value of these subsidiaries is not large enough to cause the Partnership’s holdings in investment securities to exceed the 40% threshold under section 3(a)(1)(C). StepStone Group Inc.’s unconsolidated assets consist primarily of Class A units of the Partnership and 100% of the interests in the General Partner. StepStone Group Inc. is the sole managing member of the General Partner and, in such capacity, indirectly operates and controls all of the Partnership’s business and affairs. We do not believe StepStone Group Inc.’s managing member interest in the General Partner is an investment security. Therefore, we believe that less than 40% of StepStone Group Inc.’s total assets (exclusive of U.S. government securities and cash items) on an unconsolidated basis comprise assets that could be considered investment securities. Accordingly, we do not believe StepStone Group Inc. is an inadvertent investment company by virtue of the 40% test in section 3(a)(1)(C) of the Investment Company Act as described in the second bullet point above. In addition, we believe StepStone Group Inc. is not an investment company under section 3(b)(1) of the Investment Company Act because it is primarily engaged in a non-investment company business.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StepStone Group Inc. will not be deemed to be an investment company under the Investment Company Act. However, if anything were to happen that would cause StepStone Group Inc.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Partnership, the General Partner, us or our senior leadership team, or any combination thereof and materially and adversely affect our business, financial condition and results of operations.</w:t>
      </w:r>
    </w:p>
    <w:p>
      <w:pPr>
        <w:spacing w:after="0" w:line="192" w:lineRule="exact"/>
        <w:rPr>
          <w:sz w:val="20"/>
          <w:szCs w:val="20"/>
          <w:color w:val="auto"/>
        </w:rPr>
      </w:pPr>
    </w:p>
    <w:p>
      <w:pPr>
        <w:ind w:right="7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 change of control of our company, including the effect of a “Sunset,” could result in an assignment of our investment advisory agreements.</w:t>
      </w:r>
    </w:p>
    <w:p>
      <w:pPr>
        <w:spacing w:after="0" w:line="16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auto"/>
        </w:rPr>
        <w:t>Under the Investment Advisers Act, each of the investment advisory agreements for the funds and other accounts we manage must provide that it may not be assigned without the consent of the particular fund or other client. An assignment may occur under the Investment Advisers Act if, among other things, the Partnership undergoes a change of control. After a “Sunset” becomes effective (which the Company currently anticipates will occur on September 18, 2025), the Class B common stock will have one vote per share instead of five votes per share, and the Stockholders Agreement will expire, meaning that the Class B stockholders will no longer have the right to control the appointment of directors or to direct the vote on all matters that are submitted to our stockholders for a vote. If a third party acquired a sufficient number of shares to be able, alone or with others, to control the appointment of directors and other matters submitted to our stockholders for a vote, there could be deemed a change of control of the Partnership, and thus an assignment. If such an assignment occurs, we cannot be certain that the Partnership will be able to obtain the necessary consents from our funds and other clients, which could cause us to lose the management fees and performance fees we earn from such funds and other clients.</w:t>
      </w:r>
    </w:p>
    <w:p>
      <w:pPr>
        <w:spacing w:after="0" w:line="192" w:lineRule="exact"/>
        <w:rPr>
          <w:sz w:val="20"/>
          <w:szCs w:val="20"/>
          <w:color w:val="auto"/>
        </w:rPr>
      </w:pPr>
    </w:p>
    <w:p>
      <w:pPr>
        <w:ind w:right="6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Because members of our senior leadership team hold their economic interest through other entities, conflicts of interest may arise between them and the holders of our Class A common stock or with us.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Sunset Holders, who are members of our senior leadership team, beneficially owned</w:t>
      </w:r>
    </w:p>
    <w:p>
      <w:pPr>
        <w:spacing w:after="0" w:line="2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approximately 27.1% of the outstanding Partnership units as of March 31, 2025. Because they hold their economic interest in the Partnership directly, the members of our senior leadership team may have interests that do not align with, or conflict with, those of the holders of Class A common stock or with us. For example, members of our senior leadership team will have different tax positions from Class A common stockholders, which could influence their decisions regarding whether and when to dispose of assets, whether and when to incur new or refinance existing indebtedness, and whether and when to terminate either Tax Receivable Agreement and accelerate the obligations thereunder. In addition, the structuring of future transactions and investments may take into consideration the partners’ tax considerations even where no similar benefit would accrue to 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We rely on our equity ownership, governance rights and other contractual arrangements to control certain of our consolidated subsidiaries that are not wholly-owned, which may provide us less effective operational control than wholly owning such subsidiaries.</w:t>
      </w:r>
    </w:p>
    <w:p>
      <w:pPr>
        <w:spacing w:after="0" w:line="146" w:lineRule="exact"/>
        <w:rPr>
          <w:sz w:val="20"/>
          <w:szCs w:val="20"/>
          <w:color w:val="auto"/>
        </w:rPr>
      </w:pPr>
    </w:p>
    <w:p>
      <w:pPr>
        <w:ind w:right="40" w:firstLine="648"/>
        <w:spacing w:after="0" w:line="264" w:lineRule="auto"/>
        <w:rPr>
          <w:sz w:val="20"/>
          <w:szCs w:val="20"/>
          <w:color w:val="auto"/>
        </w:rPr>
      </w:pPr>
      <w:r>
        <w:rPr>
          <w:rFonts w:ascii="Times New Roman" w:cs="Times New Roman" w:eastAsia="Times New Roman" w:hAnsi="Times New Roman"/>
          <w:sz w:val="19"/>
          <w:szCs w:val="19"/>
          <w:color w:val="auto"/>
        </w:rPr>
        <w:t>Certain of our consolidated subsidiaries are not wholly-owned by us. To the extent these subsidiaries are not wholly-owned by us, substantially all of the other owners are current StepStone professionals working for the related businesses. See “Management’s Discussion and Analysis of Financial Condition and Results of Operations—Organizational Structure—Ownership of Our Businesses.” We have relied, and expect to continue to rely, on a combination of our equity ownership, governance rights and other contractual arrangements to control operations of these businesses. As described above, SSG and the Partnership have entered into agreements with each of SRE, SRA and SPD, providing a path to full ownership of these subsidiaries. However, these arrangements may not be as effective in providing us with control over these operations as would wholly owning these subsidiaries. For example, the other owners of these subsidiaries typically have contractual rights to be significantly represented on the board of directors or other governing body of the relevant subsidiary as well as the right to participate in certain decisions affecting the subsidiary, and may assert interests that are in conflict with the interests of StepStone with regard to significant decisions affecting these subsidiaries. As a result, the arrangements we use to control the subsidiaries that are not wholly-owned may not fully protect our interests. If control over these subsidiaries and their operations is exerted less effectively by StepStone, our ability to conduct our business and our results of operations may be adversely affected.</w:t>
      </w:r>
    </w:p>
    <w:p>
      <w:pPr>
        <w:spacing w:after="0" w:line="17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14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Holders of our Class A common stock and Class B common stock vote together as a single class on almost all matters submitted to a vote of our stockholders. Shares of our Class A common stock and Class B common stock entitle the respective holders to identical non-economic rights, except that each share of our Class A common stock entitles its holder to one vote on all matters to be voted on by stockholders generally, while each share of our Class B common stock entitles its holder to five votes on all matters to be voted on by stockholders generally until a Sunset becomes effective. After a Sunset becomes effective (which the Company currently anticipates will occur on September 18, 2025), each share of our Class B common stock will entitle its holder to one vote. Certain of the holders of our Class B common stock have agreed to vote all of their shares in accordance with the instructions of the Class B Committee, and therefore will exercise control over all matters requiring the approval of our stockholders, including the election of our directors and the approval of significant corporate transactions.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196"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Distributions made by the Partnership to us may be substantial, and our ability to use the cash we receive in such distributions may be limited.</w:t>
      </w:r>
    </w:p>
    <w:p>
      <w:pPr>
        <w:spacing w:after="0" w:line="16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Under the terms of the StepStone Limited Partnership Agreement, the Partnership is obligated to make pro rata tax distributions to us and other partners of the Partnership. We may receive distributions significantly in excess of our tax liabilities and our obligations to make payments under the Tax Receivable Agreements. Our board of directors will determine the appropriate uses for any excess cash so accumulated, which may include the payment of a cash dividend on the Class A common stock, payment of obligations under the Tax Receivable Agreements or the purchase of additional units in the Partnership. To the extent we do not take such actions and instead, for example, hold such cash balances, substantial cash may accumulate at SSG and not be invested in our business. In addition, Class B, Class C and Class D limited partners in the Partnership would benefit from any value attributable to such accumulated cash balances as a result of their ownership of Class A common stock following an exchange of their units for Class A common stock.</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dual class structure of our common stock may adversely affect the trading market for our Class A common stock.</w:t>
      </w:r>
    </w:p>
    <w:p>
      <w:pPr>
        <w:spacing w:after="0" w:line="22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0"/>
          <w:szCs w:val="20"/>
          <w:color w:val="auto"/>
        </w:rPr>
        <w:t>Several stockholder advisory firms and large institutional investors oppose the use of multiple class structures. As a result, the dual class structure of our common stock may cause stockholder advisory firms to publish negative commentary about our corporate governance practices or otherwise seek to cause us to change our capital structure and may result in large institutional investors not purchasing shares of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69"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currently pay dividends to our stockholders, but our ability to do so is subject to the discretion of our board of directors and may be limited by our holding company structure and applicable provisions of Delaware law.</w:t>
      </w:r>
    </w:p>
    <w:p>
      <w:pPr>
        <w:spacing w:after="0" w:line="14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We have paid quarterly cash dividends consistently since the fourth quarter of fiscal 2021and have occasionally declared supplemental dividends. However, we are not required to declare dividends. Any determination to pay future dividends on our Class A common stock will be at the discretion of our board of directors and will depend upon many factors, including our financial condition, results of operations, projections, liquidity, earnings, business strategy, legal requirements, covenant compliance, restrictions in our existing and any future debt agreements and other factors that our board of directors deems relevant. Therefore, while we may in the future continue to pay dividends to our stockholders, our board of directors may, in its discretion, decrease the level of dividends or discontinue the payment of dividends entirely. In addition, as a holding company, we will be dependent upon the ability of the Partnership to generate earnings and cash flows and distribute them to us so that we may pay our obligations and expenses (including our taxes and payments under the Tax Receivable Agreements) and pay dividends to our stockholders. Through our ownership of a 100% membership interest in the General Partner, we expect to cause the Partnership to make distributions to its partners, including us. However, the ability of the Partnership to make such distributions will be subject to its results of operations, cash requirements and financial condition. Our ability to declare and pay dividends to our stockholders is also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the payment of dividends on our Class A common stock.</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1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has been, and may continue to be volatile, which could cause the value of stockholders’ investments to decline.</w:t>
      </w:r>
    </w:p>
    <w:p>
      <w:pPr>
        <w:spacing w:after="0" w:line="1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price of our Class A common stock has been volatile, and we have a relatively limited trading history. During fiscal 2025, the closing price of our Class A common stock ranged from a low of $34.55, and to a high closing price of $69.32. The closing price of our Class A common stock ranged from a low of $42.46, and to a high of $59.56 through May 21, 2025. The price of our Class A common stock may continue to be volatile in the future. The factors described in this “Risk Factors” section may have a significant impact on the market price of our Class A common stock.</w:t>
      </w:r>
    </w:p>
    <w:p>
      <w:pPr>
        <w:spacing w:after="0" w:line="17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more difficult, limit attempts by our stockholders to replace or remove our current management and may adversely affect the market price of our Class A common stock.</w:t>
      </w:r>
    </w:p>
    <w:p>
      <w:pPr>
        <w:spacing w:after="0" w:line="159" w:lineRule="exact"/>
        <w:rPr>
          <w:sz w:val="20"/>
          <w:szCs w:val="20"/>
          <w:color w:val="auto"/>
        </w:rPr>
      </w:pPr>
    </w:p>
    <w:p>
      <w:pPr>
        <w:ind w:right="160" w:firstLine="648"/>
        <w:spacing w:after="0" w:line="310" w:lineRule="auto"/>
        <w:rPr>
          <w:sz w:val="20"/>
          <w:szCs w:val="20"/>
          <w:color w:val="auto"/>
        </w:rPr>
      </w:pPr>
      <w:r>
        <w:rPr>
          <w:rFonts w:ascii="Times New Roman" w:cs="Times New Roman" w:eastAsia="Times New Roman" w:hAnsi="Times New Roman"/>
          <w:sz w:val="19"/>
          <w:szCs w:val="19"/>
          <w:color w:val="auto"/>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180" w:hanging="328"/>
        <w:spacing w:after="0" w:line="269"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vacancies on our board of directors shall be filled only by a majority of directors then in office, even though less than a quorum, or by a sole remaining director;</w:t>
      </w:r>
    </w:p>
    <w:p>
      <w:pPr>
        <w:spacing w:after="0" w:line="172" w:lineRule="exact"/>
        <w:rPr>
          <w:rFonts w:ascii="Times New Roman" w:cs="Times New Roman" w:eastAsia="Times New Roman" w:hAnsi="Times New Roman"/>
          <w:sz w:val="20"/>
          <w:szCs w:val="20"/>
          <w:color w:val="auto"/>
        </w:rPr>
      </w:pPr>
    </w:p>
    <w:p>
      <w:pPr>
        <w:ind w:left="660" w:right="480" w:hanging="328"/>
        <w:spacing w:after="0" w:line="269"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that our board of directors is divided into three classes, with each class serving three-year staggered terms, subject to a specified Sunset;</w:t>
      </w:r>
    </w:p>
    <w:p>
      <w:pPr>
        <w:spacing w:after="0" w:line="172"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our directors can be removed (i) for cause only as long as our board of directors is classified and (ii) following such time as our board of directors is no longer classified, with or without cause, but only upon the affirmative vote of holders of at least 66 2⁄3% of the voting power of the outstanding shares of our capital stock entitled to vote generally in the election of directors;</w:t>
      </w:r>
    </w:p>
    <w:p>
      <w:pPr>
        <w:spacing w:after="0" w:line="181" w:lineRule="exact"/>
        <w:rPr>
          <w:rFonts w:ascii="Times New Roman" w:cs="Times New Roman" w:eastAsia="Times New Roman" w:hAnsi="Times New Roman"/>
          <w:sz w:val="20"/>
          <w:szCs w:val="20"/>
          <w:color w:val="auto"/>
        </w:rPr>
      </w:pPr>
    </w:p>
    <w:p>
      <w:pPr>
        <w:ind w:left="660" w:right="540" w:hanging="328"/>
        <w:spacing w:after="0" w:line="269"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any action required or permitted to be taken by the stockholders must be effected at a duly called annual or special meeting of stockholders and may not be effected by any consent in writing in lieu of a meeting of such stockholders;</w:t>
      </w:r>
    </w:p>
    <w:p>
      <w:pPr>
        <w:spacing w:after="0" w:line="172" w:lineRule="exact"/>
        <w:rPr>
          <w:rFonts w:ascii="Times New Roman" w:cs="Times New Roman" w:eastAsia="Times New Roman" w:hAnsi="Times New Roman"/>
          <w:sz w:val="20"/>
          <w:szCs w:val="20"/>
          <w:color w:val="auto"/>
        </w:rPr>
      </w:pPr>
    </w:p>
    <w:p>
      <w:pPr>
        <w:ind w:left="660" w:right="700" w:hanging="328"/>
        <w:spacing w:after="0" w:line="28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that special meetings of our stockholders can be called only by our board of directors or the chairman of our board of directors;</w:t>
      </w:r>
    </w:p>
    <w:p>
      <w:pPr>
        <w:spacing w:after="0" w:line="146" w:lineRule="exact"/>
        <w:rPr>
          <w:rFonts w:ascii="Times New Roman" w:cs="Times New Roman" w:eastAsia="Times New Roman" w:hAnsi="Times New Roman"/>
          <w:sz w:val="20"/>
          <w:szCs w:val="20"/>
          <w:color w:val="auto"/>
        </w:rPr>
      </w:pPr>
    </w:p>
    <w:p>
      <w:pPr>
        <w:ind w:left="660" w:right="760" w:hanging="328"/>
        <w:spacing w:after="0" w:line="28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 advance notice procedure for stockholder proposals to be brought before an annual meeting, including proposed nominations of persons for election to our board of directors;</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of directors to issue, without further action by the stockholders, shares of undesignated preferred stock; and</w:t>
      </w:r>
    </w:p>
    <w:p>
      <w:pPr>
        <w:spacing w:after="0" w:line="229" w:lineRule="exact"/>
        <w:rPr>
          <w:rFonts w:ascii="Times New Roman" w:cs="Times New Roman" w:eastAsia="Times New Roman" w:hAnsi="Times New Roman"/>
          <w:sz w:val="20"/>
          <w:szCs w:val="20"/>
          <w:color w:val="auto"/>
        </w:rPr>
      </w:pPr>
    </w:p>
    <w:p>
      <w:pPr>
        <w:ind w:left="660" w:right="80" w:hanging="328"/>
        <w:spacing w:after="0" w:line="28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 two classes of common stock, with Class B common stock having five votes per share and Class A common stock having one vote per share, until a Sunset becomes effective, as discussed above.</w:t>
      </w:r>
    </w:p>
    <w:p>
      <w:pPr>
        <w:spacing w:after="0" w:line="14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and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amended and restated certificate of incorporation not to be subject to Section 203. However, our amended and restated certificate of incorporation contains provisions that have the same effect as Section 203, except that they provide that the Sunset Holders,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or other employees.</w:t>
      </w:r>
    </w:p>
    <w:p>
      <w:pPr>
        <w:spacing w:after="0" w:line="188"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select or consent to the selection of an alternative forum, all complaints asserting any internal corporate claims, which include claims in</w:t>
      </w:r>
    </w:p>
    <w:p>
      <w:pPr>
        <w:spacing w:after="0" w:line="249" w:lineRule="auto"/>
        <w:rPr>
          <w:sz w:val="20"/>
          <w:szCs w:val="20"/>
          <w:color w:val="auto"/>
        </w:rPr>
      </w:pPr>
      <w:r>
        <w:rPr>
          <w:rFonts w:ascii="Times New Roman" w:cs="Times New Roman" w:eastAsia="Times New Roman" w:hAnsi="Times New Roman"/>
          <w:sz w:val="20"/>
          <w:szCs w:val="20"/>
          <w:color w:val="auto"/>
        </w:rPr>
        <w:t>the right of our company (i) that are based upon a violation of a duty by a current or former director, officer, employee or stockholder in such capacity or (ii) as to which the DGCL confers jurisdiction upon the Court of Chancery, shall, to the fullest extent permitted by law, be exclusively brought in the Court of Chancery of the State of Delaware or, if such court does not have subject matter jurisdiction thereof, another state court or a federal court located within the State of Delaware. Furthermore, unless we select or consent to the selection of an alternative forum, the federal district courts of the United States of America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3"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We maintain a cybersecurity program that is reasonably designed to protect our information, and that of our clients, portfolio companies and investment managers with which we conduct business, against cybersecurity threats that may result in significant adverse effects on the confidentiality, integrity, and availability of our information systems.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Board of Directors</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board of directors oversees our processes for assessing and managing risk. Our audit committee is responsible for reviewing and discussing our practices with respect to risk assessment and risk management, including risks related to information technology and cybersecurity. The board of directors and audit committee periodically review the measures implemented by us to identify and mitigate risks from cybersecurity threats. As part of such reviews, the board of directors and audit committee receive reports and presentations from those responsible for overseeing our cybersecurity risk management, including the Partner, Chief Information Security Officer &amp; Head of Information Technology (“CISO”) and our Legal team, which may address a wide range of topics including recent developments, evolving standards, vulnerability assessments, third-party and independent reviews, the threat environment, technological trends and information security considerations arising with respect to</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our peers, industry participants, service providers and other third parties. The CISO also periodically presents to the board of directors and audit committee, including to describe our information security infrastructure and improvements made, and to report on any significant developments. From time to time, external legal advisers provide education to the board of directors and/or audit committee in respect of information security related developments and to provide training in respect of directors’ responsibilities. We have a framework under which certain cybersecurity incidents are escalated and, where appropriate, reported to the board of directors or audit committee in a timely manner.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Management</w:t>
      </w:r>
    </w:p>
    <w:p>
      <w:pPr>
        <w:spacing w:after="0" w:line="21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We have a cybersecurity working group composed of members of the Information Technology (including Information Security), Legal and Compliance departments, including the CISO, Chief Technology Officer, Chief Legal Officer, Chief Compliance Officer, and a number of their respective team members. The working group meets regularly to identify and mitigate data protection and cybersecurity risks, implement information security governance mechanisms, discuss developments in information security, and discuss and respond to any significant cyber incidents. The working group is expected to escalate matters of significance to our Incident Response Team, ERMC (defined below) and/or the disclosure committee, as appropriate.</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We have adopted an Incident Response Plan (“IRP”) that applies in the event of a cybersecurity threat or incident to provide a standardized framework for responding to security incidents. The IRP sets out a coordinated approach to investigating, containing, documenting and mitigating incidents, including reporting findings and keeping senior management and other key stakeholders informed and involved as appropriate. In general, our incident response process leverages the NIST framework and focuses on four phases: preparation; detection and analysis; containment, eradication and recovery; and post-incident remediation. The IRP applies to all personnel, networks and systems, third-party systems and end-user devices.</w:t>
      </w:r>
    </w:p>
    <w:p>
      <w:pPr>
        <w:spacing w:after="0" w:line="17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In addition, we have an Enterprise Risk Management Committee (“ERMC”) composed of a number of members of senior management from operations across our businesses, legal, compliance, information technology, finance, human resources and internal audit and risk. The ERMC was established to oversee and promote the efficient and effective management of our enterprise risks. Cybersecurity and significant information security matters are to be brought before the ERMC or certain of its members, and matters of primary significance are to be further escalated and reported to our Global Executive Committee and the audit committee of our board of directors, as appropriate.</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At the management level, the CISO, who has extensive cybersecurity knowledge and skills gained from over 20 years of work experience at the Company and elsewhere, heads the team responsible for implementing, monitoring and maintaining cybersecurity and data protection practices and reports directly to the President and Co-Chief Operating Officer. The CISO receives reports on cybersecurity threats from his team and external service providers on an ongoing basis and, in conjunction with management, reviews risk management measures implemented by us to identify and mitigate data protection and cybersecurity risks. The CISO works closely with our Legal and Compliance departments to oversee compliance with legal, regulatory and contractual security requirements and to develop reports and presentations to the board of directors and its audit committee. The CISO is responsible for providing training to employees in respect of information security.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We take a multifaceted approach to managing risk from cybersecurity threats. Our cybersecurity program leverages people, processes, and technology to identify and respond to cybersecurity threats in a timely manner. Our information security program and supporting policies apply to all employees, contractors and certain vendors servicing the firm. The program outlines the development, maintenance, and distribution of information security policies and procedures that detail the implementation and maintenance of the information security program and its safeguards, and cover various areas such as information handling, user access management, encryption, data retention and backups, computer and network security and monitoring, physical security, incident reporting and response, service provider oversight, and employee and contractor use of technology. We also undergo annual SOC 1 Type 2 testing of our financial processes and supporting technical controls.</w:t>
      </w:r>
    </w:p>
    <w:p>
      <w:pPr>
        <w:spacing w:after="0" w:line="1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In addition to the foregoing, we conduct regular employee trainings on cybersecurity and perform phishing exercises to test</w:t>
      </w:r>
    </w:p>
    <w:p>
      <w:pPr>
        <w:spacing w:after="0" w:line="2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employees’ understanding of how to identify social engineering attacks. We perform diligence, including in respect of information security, of vendors and third parties with significant access to confidential information and personal data, and periodically monitor such vendors. We also employ systems and processes designed to oversee, identify, and reduce the potential impact of a security incident at a third-party vendor, service provider or customer or otherwise implicating the third-party technology and systems. We conduct annual penetration testing performed by a rotating group of third-party security firms to test our technical controls and security response. Our internal audit team has also conducted a cybersecurity assessment to test our preparedness. In addition to our internal cybersecurity capabilities and third-party penetration testing, we also, at times, engage consultants or other third parties to assist with assessing, identifying, and managing cybersecurity risks.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Material Cybersecurity Risks, Threats &amp; Incidents</w:t>
      </w:r>
    </w:p>
    <w:p>
      <w:pPr>
        <w:spacing w:after="0" w:line="2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Due to evolving cybersecurity threats, it has and will continue to be difficult to prevent, detect, mitigate, and remediate cybersecurity incidents. To date, based on information available as of the date of this annual report, we have not identified any risks from cybersecurity threats, including as a result of previous cybersecurity incidents, that we believe have materially affected, or are reasonably likely to materially affect, us, including our business strategy, results of operations, or financial condition, but we face certain ongoing risks from cybersecurity threats that, if realized, are reasonably likely to have such an effect and there can be no assurance that we will not be subject to future cybersecurity attacks, threats or incidents that may materially affect our business strategy, results of operations or financial condition. Additional information on cybersecurity risks we face can be found in Part I, Item 1A “Risk Factors” of this Report under the heading “Cybersecurity risks and cybersecurity incidents could adversely affect our business by causing a disruption to our operations, which could adversely affect our financial condition and results of operations.”, which should be read in conjunction with the foregoing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3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0"/>
          <w:szCs w:val="20"/>
          <w:color w:val="auto"/>
        </w:rPr>
        <w:t>We lease our corporate headquarters office space located at 277 Park Avenue, 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New York, NY 10172. We also lease space for our offices located in Baltimore, Beijing, Charlotte, Chicago, Cleveland, Dallas, Dublin, Frankfurt, Jeonju, La Jolla, London, Luxembourg, Mexico City, Milan, Orlando, Palo Alto, Perth, Rome, San Francisco, Santiago, São Paulo, Seoul, Singapore, Sydney, Tokyo, Toronto and Zurich. We do not own any real property. We believe our existing facilities are adequate for our current needs and that suitable additional space will be available as and when needed.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20" w:lineRule="exact"/>
        <w:rPr>
          <w:sz w:val="20"/>
          <w:szCs w:val="20"/>
          <w:color w:val="auto"/>
        </w:rPr>
      </w:pPr>
    </w:p>
    <w:p>
      <w:pPr>
        <w:ind w:right="360" w:firstLine="648"/>
        <w:spacing w:after="0" w:line="283" w:lineRule="auto"/>
        <w:rPr>
          <w:sz w:val="20"/>
          <w:szCs w:val="20"/>
          <w:color w:val="auto"/>
        </w:rPr>
      </w:pPr>
      <w:r>
        <w:rPr>
          <w:rFonts w:ascii="Times New Roman" w:cs="Times New Roman" w:eastAsia="Times New Roman" w:hAnsi="Times New Roman"/>
          <w:sz w:val="20"/>
          <w:szCs w:val="20"/>
          <w:color w:val="auto"/>
        </w:rPr>
        <w:t>In the normal course of business, we may be subject to various legal, judicial and administrative proceedings. See note 15 to our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9" w:lineRule="exact"/>
        <w:rPr>
          <w:sz w:val="20"/>
          <w:szCs w:val="20"/>
          <w:color w:val="auto"/>
        </w:rPr>
      </w:pPr>
    </w:p>
    <w:p>
      <w:pPr>
        <w:ind w:left="660" w:right="980" w:hanging="647"/>
        <w:spacing w:after="0" w:line="474"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 Market Information for Common Stock</w:t>
      </w: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Our Class A common stock is traded on the Nasdaq Global Select Market under the symbol “STEP.” There is no established public trading market for our Class B common stock.</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2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As of May 21, 2025, there were three stockholders of record of our Class A common stock and there were 55 stockholders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33"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The declaration and payment of any dividends is subject to the approval of the board of directors of the Company, which may change our approach to dividends at any time. Holders of our Class B common stock are not entitled to dividends distributed by the Company, but will share in the distributions made by the Partnership on a pro rata basis as further discussed below. On May 22, 2025, we announced a quarterly cash dividend of $0.24 per share of Class A common stock and a supplemental cash dividend of $0.40 per share of Class A common stock, both payable on June 30, 2025 to holders of record at the close of business on June 13, 2025. The quarterly cash dividend and supplemental cash dividend relate to earnings in respect of our fourth fiscal quarter and full fiscal year 2025, respectively. The declaration of this supplemental dividend does not guarantee that the Company will declare supplemental dividends in the future and the board of directors may, in its discretion, decrease the level of dividends or discontinue the payment of dividends entirely. </w:t>
      </w:r>
      <w:r>
        <w:rPr>
          <w:rFonts w:ascii="Times New Roman" w:cs="Times New Roman" w:eastAsia="Times New Roman" w:hAnsi="Times New Roman"/>
          <w:sz w:val="19"/>
          <w:szCs w:val="19"/>
          <w:color w:val="221F1F"/>
        </w:rPr>
        <w:t>See “Risk Factors—Risks Related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21F1F"/>
        </w:rPr>
        <w:t>Our Organizational Structure—</w:t>
      </w:r>
      <w:r>
        <w:rPr>
          <w:rFonts w:ascii="Times New Roman" w:cs="Times New Roman" w:eastAsia="Times New Roman" w:hAnsi="Times New Roman"/>
          <w:sz w:val="19"/>
          <w:szCs w:val="19"/>
          <w:color w:val="000000"/>
        </w:rPr>
        <w:t>We currently pay dividends to our stockholders, but our ability to do so is subject to the discretion of our</w:t>
      </w:r>
      <w:r>
        <w:rPr>
          <w:rFonts w:ascii="Times New Roman" w:cs="Times New Roman" w:eastAsia="Times New Roman" w:hAnsi="Times New Roman"/>
          <w:sz w:val="19"/>
          <w:szCs w:val="19"/>
          <w:color w:val="221F1F"/>
        </w:rPr>
        <w:t xml:space="preserve"> </w:t>
      </w:r>
      <w:r>
        <w:rPr>
          <w:rFonts w:ascii="Times New Roman" w:cs="Times New Roman" w:eastAsia="Times New Roman" w:hAnsi="Times New Roman"/>
          <w:sz w:val="19"/>
          <w:szCs w:val="19"/>
          <w:color w:val="000000"/>
        </w:rPr>
        <w:t>board of directors and may be limited by our holding company structure and applicable provisions of Delaware law.”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following table presents information regarding quarterly dividends on Class A common shares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2022</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2022</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2023</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FY2023</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13, 2024</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13,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14, 2025</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FY2025</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years 2023 and 2024, respectively.</w:t>
      </w:r>
    </w:p>
    <w:p>
      <w:pPr>
        <w:spacing w:after="0" w:line="20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Subject to funds being legally available,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and non-pro rata payments to SSG to reimburse it for corporate and other overhead expenses. If the amount of tax distributions to be made exceeds the amount of funds available for distribution, SSG will receive the full amount of its tax distribution before the other partners receive any distribution and the balance, if any, of funds available for distribution will be distributed to the other partners pro rata in accordance with their assumed tax liabilities. The declaration and payment of any other dividends by SSG will generally be at the sole discretion of its board of directors, which may change our approach to dividends at any time. Holders of our Class B common stock are not entitled to dividends distributed by SSG, but will share in the distributions made by the Partnership on a pro rata basis through their concurrent ownership of Class B units of the Partnership. In connection with deciding whether to pay any dividend to our Class A stockholders, the board of directors takes into account:</w:t>
      </w:r>
    </w:p>
    <w:p>
      <w:pPr>
        <w:spacing w:after="0" w:line="196"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business conditions;</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results of operations;</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available cash and current and anticipated cash needs;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capital requirements;</w:t>
      </w:r>
    </w:p>
    <w:p>
      <w:pPr>
        <w:spacing w:after="0" w:line="215" w:lineRule="exact"/>
        <w:rPr>
          <w:rFonts w:ascii="Times New Roman" w:cs="Times New Roman" w:eastAsia="Times New Roman" w:hAnsi="Times New Roman"/>
          <w:sz w:val="20"/>
          <w:szCs w:val="20"/>
          <w:color w:val="auto"/>
        </w:rPr>
      </w:pPr>
    </w:p>
    <w:p>
      <w:pPr>
        <w:ind w:left="660" w:right="98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legal, tax and regulatory requirements, restrictions and implications on the payment of dividends by us to our stockholders or by our subsidiaries (including the Partnership) to us; and</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factors as our board of directors may deem relevant.</w:t>
      </w:r>
    </w:p>
    <w:p>
      <w:pPr>
        <w:spacing w:after="0" w:line="229"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9"/>
          <w:szCs w:val="19"/>
          <w:color w:val="auto"/>
        </w:rPr>
        <w:t>To the extent that the tax distributions SSG receives exceed the amounts SSG requires to pay taxes and other expenses and make payments under the Tax Receivable Agreements (because of the lower tax rate applicable to SSG than the assumed tax rate on which such distributions are based or because a disproportionate share of the taxable income of the Partnership may be required to be allocated to partners in the Partnership other than SSG), our board of directors, in its sole discretion, will make any determination from time to time with respect to the use of any such excess cash so accumulated, including potentially causing SSG to contribute such excess cash (net of any operating expenses) to the Partnership. Concurrently with any potential contribution of such excess cash, in order to maintain the intended economic relationship between the shares of Class A common stock and the Partnership units after accounting for such contribution, the Partnership and SSG, as applicable, may undertake ameliorative actions, which may include reverse splits, reclassifications, combinations, subdivisions or adjustments of outstanding Partnership units and corresponding shares of Class A common stock, as well as corresponding adjustments to the shares of Class B common stock. To the extent that SSG contributes such excess cash to the Partnership (and undertakes such ameliorative actions), a holder of Class A common stock would not receive distributions in cash and would instead benefit through an increase in the indirect ownership interest in the Partnership represented by such holder’s Class A common stock. To the extent that SSG does not distribute such excess cash as dividends on the Class A common stock or otherwise undertake such ameliorative actions and instead, for example, holds such cash balances, the limited partners of the Partnership (not including SSG) may benefit from any value attributable to such cash balances as a result of their ownership of Class A common stock following an exchange of their Class B units, Class C units or Class D units for shares of the Class A common stock, notwithstanding that such limited partners may previously have participated as holders of Class B units, Class C units or Class D units in distributions by the Partnership that resulted in such excess cash balances at SSG.</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3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Except as previously disclosed in current reports on Form 8-K, no unregistered sales of the Company’s equity securities were made during the year ended March 31, 2025.</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following graph depicts the total cumulative stockholder return on our common stock from September 16, 2020, the first day of trading of our Class A common stock on Nasdaq, through March 31, 2025, relative to the performance of the S&amp;P 500 Index and the Dow Jones US Asset Managers Index. The graph assumes an initial investment of $100.00 at the close of trading on September 16, 2020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136525</wp:posOffset>
            </wp:positionV>
            <wp:extent cx="5254625" cy="32575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September 16,</w:t>
            </w:r>
          </w:p>
        </w:tc>
        <w:tc>
          <w:tcPr>
            <w:tcW w:w="130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12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StepStone Group Inc.</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 Jones US Asset Managers Index</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206.80</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the consolidated financial statements and the related notes included in Part II, Item 8 of this annual report on Form 10-K. In this annual report references to “we,” “us,” “our,” “StepStone” and similar terms refer to SSG and its consolidated subsidiaries, including the Partnership. Unless otherwise indicated, references in this annual report to fiscal 2025, fiscal 2024 and fiscal 2023 are to our fiscal years ended March 31, 2025, 2024 and 2023, respectively.</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3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0"/>
          <w:szCs w:val="20"/>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2025, we were responsible for approximately $709 billion of total capital, including $189 billion of AUM and $520 billion of AUA.</w:t>
      </w:r>
    </w:p>
    <w:p>
      <w:pPr>
        <w:spacing w:after="0" w:line="19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28 cities across 16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March 31, 2025, we had approximately 1,130 total employees, including over 375 investment professionals and approximately 750 employees across our operating team and implementation teams dedicated to sourcing, executing, analyzing and monitoring private markets opportunities.</w:t>
      </w:r>
    </w:p>
    <w:p>
      <w:pPr>
        <w:spacing w:after="0" w:line="182"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69" w:lineRule="exact"/>
        <w:rPr>
          <w:sz w:val="20"/>
          <w:szCs w:val="20"/>
          <w:color w:val="auto"/>
        </w:rPr>
      </w:pPr>
    </w:p>
    <w:p>
      <w:pPr>
        <w:ind w:left="660" w:right="60" w:hanging="328"/>
        <w:spacing w:after="0" w:line="260"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Separately managed accounts (“SMAs”). </w:t>
      </w:r>
      <w:r>
        <w:rPr>
          <w:rFonts w:ascii="Times New Roman" w:cs="Times New Roman" w:eastAsia="Times New Roman" w:hAnsi="Times New Roman"/>
          <w:sz w:val="20"/>
          <w:szCs w:val="20"/>
          <w:color w:val="auto"/>
        </w:rPr>
        <w:t>Owned by one client and managed according to their specific preferences, SMAs integrate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combination of primaries, secondaries and co-investments across one or more asset classes. SMAs are meant to address clients’ specific portfolio objectives with respect to return, risk tolerance, diversification and liquidity. SMAs, including directly managed assets, comprised $115 billion of our AUM as of March 31, 2025.</w:t>
      </w:r>
    </w:p>
    <w:p>
      <w:pPr>
        <w:spacing w:after="0" w:line="164" w:lineRule="exact"/>
        <w:rPr>
          <w:rFonts w:ascii="Times New Roman" w:cs="Times New Roman" w:eastAsia="Times New Roman" w:hAnsi="Times New Roman"/>
          <w:sz w:val="20"/>
          <w:szCs w:val="20"/>
          <w:color w:val="auto"/>
        </w:rPr>
      </w:pPr>
    </w:p>
    <w:p>
      <w:pPr>
        <w:ind w:left="660" w:right="180" w:hanging="328"/>
        <w:spacing w:after="0" w:line="287"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Focused commingled funds. </w:t>
      </w:r>
      <w:r>
        <w:rPr>
          <w:rFonts w:ascii="Times New Roman" w:cs="Times New Roman" w:eastAsia="Times New Roman" w:hAnsi="Times New Roman"/>
          <w:sz w:val="20"/>
          <w:szCs w:val="20"/>
          <w:color w:val="auto"/>
        </w:rPr>
        <w:t>Owned by multiple clients, our focused commingled funds deploy capital in specific asset classes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defined investment strategies. Focused commingled funds comprised $59 billion of our AUM as of March 31, 2025.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40" w:hanging="328"/>
        <w:spacing w:after="0" w:line="254"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Advisory and data services. </w:t>
      </w:r>
      <w:r>
        <w:rPr>
          <w:rFonts w:ascii="Times New Roman" w:cs="Times New Roman" w:eastAsia="Times New Roman" w:hAnsi="Times New Roman"/>
          <w:sz w:val="20"/>
          <w:szCs w:val="20"/>
          <w:color w:val="auto"/>
        </w:rPr>
        <w:t>These services include one or more of the following for our clients: (i) recurring support of portfolio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SPI Research and our other proprietary tools. Advisory relationships comprised $520 billion of our AUA and $15 billion of our AUM as of March 31, 2025.</w:t>
      </w:r>
    </w:p>
    <w:p>
      <w:pPr>
        <w:spacing w:after="0" w:line="173" w:lineRule="exact"/>
        <w:rPr>
          <w:rFonts w:ascii="Times New Roman" w:cs="Times New Roman" w:eastAsia="Times New Roman" w:hAnsi="Times New Roman"/>
          <w:sz w:val="20"/>
          <w:szCs w:val="20"/>
          <w:color w:val="auto"/>
        </w:rPr>
      </w:pPr>
    </w:p>
    <w:p>
      <w:pPr>
        <w:ind w:left="660" w:right="60" w:hanging="328"/>
        <w:spacing w:after="0" w:line="260" w:lineRule="auto"/>
        <w:tabs>
          <w:tab w:leader="none" w:pos="648"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auto"/>
        </w:rPr>
        <w:t xml:space="preserve">Portfolio analytics and reporting. </w:t>
      </w:r>
      <w:r>
        <w:rPr>
          <w:rFonts w:ascii="Times New Roman" w:cs="Times New Roman" w:eastAsia="Times New Roman" w:hAnsi="Times New Roman"/>
          <w:sz w:val="20"/>
          <w:szCs w:val="20"/>
          <w:color w:val="auto"/>
        </w:rPr>
        <w:t>We provide clients with tailored reporting packages, including customized performance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benchmarks as well as associated compliance, administrative and tax capabilities. Mandates for portfolio analytics and reporting services typically include licensed access to our proprietary performance monitoring software, SPI Reporting. We provided portfolio analytics and reporting </w:t>
      </w:r>
      <w:r>
        <w:rPr>
          <w:rFonts w:ascii="Times New Roman" w:cs="Times New Roman" w:eastAsia="Times New Roman" w:hAnsi="Times New Roman"/>
          <w:sz w:val="20"/>
          <w:szCs w:val="20"/>
          <w:color w:val="231F20"/>
        </w:rPr>
        <w:t>on nearly</w:t>
      </w:r>
      <w:r>
        <w:rPr>
          <w:rFonts w:ascii="Times New Roman" w:cs="Times New Roman" w:eastAsia="Times New Roman" w:hAnsi="Times New Roman"/>
          <w:sz w:val="20"/>
          <w:szCs w:val="20"/>
          <w:color w:val="auto"/>
        </w:rPr>
        <w:t xml:space="preserve"> $780 billion of client commitments through SPI Reporting as of March 31, 2025.</w:t>
      </w:r>
    </w:p>
    <w:p>
      <w:pPr>
        <w:spacing w:after="0" w:line="182"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0"/>
          <w:szCs w:val="20"/>
          <w:color w:val="auto"/>
        </w:rPr>
        <w:t>We generate revenues from management and advisory fees and performance fees earned pursuant to contractual arrangements with the StepStone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Our business is affected by a variety of factors, including conditions in the financial markets, regulatory environment, and economic and political conditions. Changes in global economic conditions and regulatory or other governmental policies or actions can materially affect the values of the StepStone Funds’ holdings, our ability to source attractive investments and completely utilize the capital that we have raised, and result in increased compliance costs and administrative burdens.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addition to these macroeconomic trends and market factors, we believe our future performance will be influenced by the following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w:t>
      </w:r>
    </w:p>
    <w:p>
      <w:pPr>
        <w:spacing w:after="0" w:line="203" w:lineRule="exact"/>
        <w:rPr>
          <w:sz w:val="20"/>
          <w:szCs w:val="20"/>
          <w:color w:val="auto"/>
        </w:rPr>
      </w:pPr>
    </w:p>
    <w:p>
      <w:pPr>
        <w:ind w:left="660" w:hanging="328"/>
        <w:spacing w:after="0" w:line="254"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extent to which clients favor private markets investments. </w:t>
      </w:r>
      <w:r>
        <w:rPr>
          <w:rFonts w:ascii="Times New Roman" w:cs="Times New Roman" w:eastAsia="Times New Roman" w:hAnsi="Times New Roman"/>
          <w:sz w:val="20"/>
          <w:szCs w:val="20"/>
          <w:color w:val="auto"/>
        </w:rPr>
        <w:t>Our ability to attract new capital is partially dependent on clients’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73"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Our ability to generate strong, stable returns. </w:t>
      </w:r>
      <w:r>
        <w:rPr>
          <w:rFonts w:ascii="Times New Roman" w:cs="Times New Roman" w:eastAsia="Times New Roman" w:hAnsi="Times New Roman"/>
          <w:sz w:val="20"/>
          <w:szCs w:val="20"/>
          <w:color w:val="auto"/>
        </w:rPr>
        <w:t>Our ability to raise and retain capital is partially dependent on the investment returns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40" w:hanging="328"/>
        <w:spacing w:after="0" w:line="254" w:lineRule="auto"/>
        <w:tabs>
          <w:tab w:leader="none" w:pos="648" w:val="left"/>
        </w:tabs>
        <w:numPr>
          <w:ilvl w:val="0"/>
          <w:numId w:val="3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Our ability to maintain our data advantage relative to competitors. </w:t>
      </w:r>
      <w:r>
        <w:rPr>
          <w:rFonts w:ascii="Times New Roman" w:cs="Times New Roman" w:eastAsia="Times New Roman" w:hAnsi="Times New Roman"/>
          <w:sz w:val="20"/>
          <w:szCs w:val="20"/>
          <w:color w:val="auto"/>
        </w:rPr>
        <w:t>Our proprietary data and technology platforms, analytical tools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87" w:lineRule="exact"/>
        <w:rPr>
          <w:rFonts w:ascii="Times New Roman" w:cs="Times New Roman" w:eastAsia="Times New Roman" w:hAnsi="Times New Roman"/>
          <w:sz w:val="20"/>
          <w:szCs w:val="20"/>
          <w:i w:val="1"/>
          <w:iCs w:val="1"/>
          <w:color w:val="auto"/>
        </w:rPr>
      </w:pPr>
    </w:p>
    <w:p>
      <w:pPr>
        <w:ind w:left="660" w:hanging="328"/>
        <w:spacing w:after="0" w:line="252"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Our ability to source investments with attractive risk-adjusted returns. </w:t>
      </w:r>
      <w:r>
        <w:rPr>
          <w:rFonts w:ascii="Times New Roman" w:cs="Times New Roman" w:eastAsia="Times New Roman" w:hAnsi="Times New Roman"/>
          <w:sz w:val="20"/>
          <w:szCs w:val="20"/>
          <w:color w:val="auto"/>
        </w:rPr>
        <w:t>The continued growth in our revenues is dependent on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86"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Increased competition and clients’ desire to work with fewer managers. </w:t>
      </w:r>
      <w:r>
        <w:rPr>
          <w:rFonts w:ascii="Times New Roman" w:cs="Times New Roman" w:eastAsia="Times New Roman" w:hAnsi="Times New Roman"/>
          <w:sz w:val="20"/>
          <w:szCs w:val="20"/>
          <w:color w:val="auto"/>
        </w:rPr>
        <w:t>There has been an increasing desire on the part of larger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In 2024, </w:t>
      </w:r>
      <w:r>
        <w:rPr>
          <w:rFonts w:ascii="Times New Roman" w:cs="Times New Roman" w:eastAsia="Times New Roman" w:hAnsi="Times New Roman"/>
          <w:sz w:val="20"/>
          <w:szCs w:val="20"/>
          <w:color w:val="231F20"/>
        </w:rPr>
        <w:t>signs of easing inflation coupled with the expansion of economic activity at a sustained pace and low unemployment rates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contributed to positive returns in most financial markets </w:t>
      </w:r>
      <w:r>
        <w:rPr>
          <w:rFonts w:ascii="Times New Roman" w:cs="Times New Roman" w:eastAsia="Times New Roman" w:hAnsi="Times New Roman"/>
          <w:sz w:val="20"/>
          <w:szCs w:val="20"/>
          <w:color w:val="000000"/>
        </w:rPr>
        <w:t>despite inflation remaining elevated. Between September 2024 and December 2024,</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the Federal Reserve announced several decisions to lower the target range for the federal funds rate ultimately to a range of 4.25% to 4.50% in response to positive trends in economic data, including a measure of inflation. In 2025, financial markets experienced significant volatility largely in response to the uncertainty of the economic impact from U.S. trade policy developments including announcement of the implementation of increases on tariffs charged by the U.S. on certain imports. The U.S. economy experienced a slowdown, moving from expansion in the last quarter of 2024 to a slight contraction in the first quarter of 2025.</w:t>
      </w:r>
    </w:p>
    <w:p>
      <w:pPr>
        <w:spacing w:after="0" w:line="193" w:lineRule="exact"/>
        <w:rPr>
          <w:sz w:val="20"/>
          <w:szCs w:val="20"/>
          <w:color w:val="auto"/>
        </w:rPr>
      </w:pPr>
    </w:p>
    <w:p>
      <w:pPr>
        <w:ind w:right="180" w:firstLine="648"/>
        <w:spacing w:after="0" w:line="274" w:lineRule="auto"/>
        <w:rPr>
          <w:sz w:val="20"/>
          <w:szCs w:val="20"/>
          <w:color w:val="auto"/>
        </w:rPr>
      </w:pPr>
      <w:r>
        <w:rPr>
          <w:rFonts w:ascii="Times New Roman" w:cs="Times New Roman" w:eastAsia="Times New Roman" w:hAnsi="Times New Roman"/>
          <w:sz w:val="19"/>
          <w:szCs w:val="19"/>
          <w:color w:val="auto"/>
        </w:rPr>
        <w:t xml:space="preserve">We are continuing to closely monitor developments related to inflation, </w:t>
      </w:r>
      <w:r>
        <w:rPr>
          <w:rFonts w:ascii="Times New Roman" w:cs="Times New Roman" w:eastAsia="Times New Roman" w:hAnsi="Times New Roman"/>
          <w:sz w:val="19"/>
          <w:szCs w:val="19"/>
          <w:color w:val="231F20"/>
        </w:rPr>
        <w:t>decreasing but still elevated interest rates,</w:t>
      </w:r>
      <w:r>
        <w:rPr>
          <w:rFonts w:ascii="Times New Roman" w:cs="Times New Roman" w:eastAsia="Times New Roman" w:hAnsi="Times New Roman"/>
          <w:sz w:val="19"/>
          <w:szCs w:val="19"/>
          <w:color w:val="auto"/>
        </w:rPr>
        <w:t xml:space="preserve"> trade, regulatory and other governmental policy</w:t>
      </w:r>
      <w:r>
        <w:rPr>
          <w:rFonts w:ascii="Times New Roman" w:cs="Times New Roman" w:eastAsia="Times New Roman" w:hAnsi="Times New Roman"/>
          <w:sz w:val="19"/>
          <w:szCs w:val="19"/>
          <w:color w:val="231F20"/>
        </w:rPr>
        <w:t>, banking system volatility,</w:t>
      </w:r>
      <w:r>
        <w:rPr>
          <w:rFonts w:ascii="Times New Roman" w:cs="Times New Roman" w:eastAsia="Times New Roman" w:hAnsi="Times New Roman"/>
          <w:sz w:val="19"/>
          <w:szCs w:val="19"/>
          <w:color w:val="auto"/>
        </w:rPr>
        <w:t xml:space="preserve"> geopolitical tension, unrest or conflicts, including in or with China, Russia,</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Ukraine, and the Middle East</w:t>
      </w:r>
      <w:r>
        <w:rPr>
          <w:rFonts w:ascii="Times New Roman" w:cs="Times New Roman" w:eastAsia="Times New Roman" w:hAnsi="Times New Roman"/>
          <w:sz w:val="20"/>
          <w:szCs w:val="20"/>
          <w:color w:val="231F20"/>
        </w:rPr>
        <w:t>, and assess the impact on financial markets and on our business.</w:t>
      </w:r>
      <w:r>
        <w:rPr>
          <w:rFonts w:ascii="Times New Roman" w:cs="Times New Roman" w:eastAsia="Times New Roman" w:hAnsi="Times New Roman"/>
          <w:sz w:val="20"/>
          <w:szCs w:val="20"/>
          <w:color w:val="auto"/>
        </w:rPr>
        <w:t xml:space="preserve"> Our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our consolidated financial statements. See “Risk Factors—Risks Related to Our Industry—Difficult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 and “Risk Factors—Banking system volatility may adversely affect the results and financial condition of the StepStone Funds or StepStone generally.”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Corporate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220"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we issued $175.0 million aggregate principal amount of our 5.52% Series A senior notes due October 22, 2029 (the “Notes”), pursuant to a note purchase agreement, dated as of October 22, 2024 (the “Note Purchase Agreement”), in a private placement exempt from registration under the Securities Act.</w:t>
      </w:r>
    </w:p>
    <w:p>
      <w:pPr>
        <w:spacing w:after="0" w:line="18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is payable semi-annually in arrears on April 22 and October 22 of each year, commencing on April 22, 2025. Interest on the Notes accrues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we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86"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newly-created Class D equity interests (“Class D units”) in the Partnership with terms substantially similar to the Partnership’s existing Class C units, in the case of SRA and SRE, or shares of Class A common stock, in the case of SPD, and (ii) cash (at our discretion for all exchanges except the initial exchange), in up to ten annual exchanges (or up to fifteen annual exchanges in certain circumstances in the case of the sellers of SRA equity interests). Each Transaction Agreement also provides that beginning after the fifth annual exchange, future exchanges may be accelerated into one final exchange in certain circumstances.</w:t>
      </w:r>
    </w:p>
    <w:p>
      <w:pPr>
        <w:spacing w:after="0" w:line="193"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The portion of the equity interests to be acquired in each annual exchange is set forth in an exchange schedule attached to each Transaction Agreement and is approximately 5% of each Asset Class Entity on each contemplated annual exchange date. The amount of consideration to be delivered will be calculated using exchange ratios determined each year based on a formula establishing an assumed value of each Asset Class Entity based on its estimated adjusted net income, relative to an adjusted trading multiple for our Class A common stock relative to our estimated adjusted net income. The Transaction Agreement specifies a minimum adjusted trading multiple for the exchange to take place, in which case if not met the exchange would be skipped and combined in a subsequent year if and when the minimum adjusted trading multiple was met.</w:t>
      </w:r>
    </w:p>
    <w:p>
      <w:pPr>
        <w:spacing w:after="0" w:line="193"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9"/>
          <w:szCs w:val="19"/>
          <w:color w:val="auto"/>
        </w:rPr>
        <w:t>On May 31, 2024, we completed the first annual exchange (the “2024 Exchange”) to acquire approximately 5% of the equity interests of each of SRA, SRE and SPD pursuant to the Transaction Agreements dated as of February 7, 2024. As a result of the 2024 Exchange, the Partnership now owns approximately 54% of the outstanding equity interests of SRA, 56% of the outstanding equity interests of SRE and 54% of the outstanding equity interests of SPD. The aggregate consideration paid by us in the 2024 Exchange was approximately</w:t>
      </w:r>
    </w:p>
    <w:p>
      <w:pPr>
        <w:spacing w:after="0" w:line="2" w:lineRule="exact"/>
        <w:rPr>
          <w:sz w:val="20"/>
          <w:szCs w:val="20"/>
          <w:color w:val="auto"/>
        </w:rPr>
      </w:pPr>
    </w:p>
    <w:p>
      <w:pPr>
        <w:ind w:left="240" w:hanging="232"/>
        <w:spacing w:after="0"/>
        <w:tabs>
          <w:tab w:leader="none" w:pos="2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million in cash, (ii) 513,394 shares of Class A common stock and (iii) 2,239,185 Class D units of the Partnership.</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74"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9"/>
          <w:szCs w:val="19"/>
          <w:color w:val="auto"/>
        </w:rPr>
        <w:t>In connection with the transactions contemplated by the SRA Transaction Agreement and SRE Transaction Agreement, we entered into a Class D Exchange Agreement (the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in connection with the SRA Transaction Agreement and SRE Transaction Agreement on a one-for-one basis with shares of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169"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0"/>
          <w:szCs w:val="20"/>
          <w:color w:val="auto"/>
        </w:rPr>
        <w:t>We expect the second annual exchange under the Transaction Agreements to occur on or about May 31, 2025. In connection with such exchange, we expect to acquire approximately 5% of the equity interests of each of SRA, SRE and SPD, in exchange for cash and either Class A common stock or Class D units of the Partnership.</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Private Wealth Transaction</w:t>
      </w:r>
    </w:p>
    <w:p>
      <w:pPr>
        <w:spacing w:after="0" w:line="23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9"/>
          <w:szCs w:val="19"/>
          <w:color w:val="auto"/>
        </w:rPr>
        <w:t>In November 2022, we entered into arrangements with the SPW management team (the “Private Wealth Transaction”) under which certain members of the SPW team received a profits interest in SPW and concurrently entered into an option agreement which provides that</w:t>
      </w:r>
    </w:p>
    <w:p>
      <w:pPr>
        <w:spacing w:after="0" w:line="2" w:lineRule="exact"/>
        <w:rPr>
          <w:sz w:val="20"/>
          <w:szCs w:val="20"/>
          <w:color w:val="auto"/>
        </w:rPr>
      </w:pPr>
    </w:p>
    <w:p>
      <w:pPr>
        <w:ind w:right="140" w:firstLine="8"/>
        <w:spacing w:after="0" w:line="250" w:lineRule="auto"/>
        <w:tabs>
          <w:tab w:leader="none" w:pos="2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a portion of the consideration in units of the Partnership, each to be exchangeable into shares of our Class A common stock, and, in either case, rights under one or more tax receivable agreements.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In June 2024, we issued 1,731,807 shares of Class A common stock to certain limited partners of the Partnership in exchange for 1,731,807 Class B units of the Partnership in accordance with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On the same date, we also issued 71,766 shares of Class A common stock to certain limited partners of the Partnership in exchange for 71,766 Class C units of the Partnership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w:t>
      </w:r>
    </w:p>
    <w:p>
      <w:pPr>
        <w:spacing w:after="0" w:line="19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In September 2024, we conducted an underwritten public offering of 4,099,997 shares of Class A common stock at a public offering price of $50.00 per share. We used all of the net proceeds from the offering, after underwriting discounts and commissions and expenses, to purchase (i) 300,000 shares of our Class A common stock from certain selling stockholders, (ii) 3,094,981 Class B units of the Partnership from certain holders thereof, including certain of our directors and executive officers, and (iii) 705,016 Class C units of the Partnership from certain holders thereof. 3,094,981 shares of Class B common stock were automatically redeemed at par value and canceled in connection with such exchange and 3,799,997 Class A units of the Partnership were issued to us.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Also in September 2024, we issued 312,112 shares of Class A common stock to certain limited partners of the Partnership in exchange for 312,112 Class B units of the Partnership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34,027 shares of Class A common stock to certain limited partners of the Partnership in exchange for 34,027 Class C units of the Partnership pursuant to the Class C Exchange Agreement, and a corresponding number of Class A units of the Partnership were issued to us.</w:t>
      </w:r>
    </w:p>
    <w:p>
      <w:pPr>
        <w:spacing w:after="0" w:line="17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In December 2024, we issued 2,354,788 shares of Class A common stock to certain limited partners of the Partnership in exchange for 2,354,788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75,642 shares of Class A common stock to certain limited partners of the Partnership in exchange for 75,642 Class C units of the Partnership in accordance with the elective exchange notices submitted pursuant to the Class C Exchange Agreement, and a corresponding number of Class A units of the Partnership were issued to us. We also issued 729,449 shares of Class A common stock to certain limited partners of the Partnership in exchange for 729,449 Class D units of the Partnership in accordance with the elective exchange notices submitted pursuant to the Class D Exchange Agreement, and a corresponding number of Class A units of the Partnership were issued to us.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March 2025, we issued 470,300 shares of Class A common stock to certain limited partners of the Partnership in exchange for</w:t>
      </w:r>
    </w:p>
    <w:p>
      <w:pPr>
        <w:spacing w:after="0" w:line="2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470,300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171,905 shares of Class A common stock to certain limited partners of the Partnership in exchange for 171,905 Class D units of the Partnership in accordance with the elective exchange notices submitted pursuant to the Class D Exchange Agreement, and a corresponding number of Class A units of the Partnership were issued to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2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Class C units and Class D units held by partners of the Partnership in our consolidated financial statements.</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Pursuant to the StepStone Limited Partnership Agreement, the Class B Exchange Agreement, the Class C Exchange Agreement and the Class D Exchange Agreement that SSG and the Partnership entered into with partners holding Class B units, Class C units and Class D units of the Partnership, respectively, each Class B unit, Class C unit or Class D unit is exchangeable for one share of SSG’s Class A common stock or, at SSG’s election, for cash, subject to certain restrictions specified in the relevant exchange agreement. When a Class B unit, Class C unit or Class D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and Class D units.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diagram below illustrates our organizational structure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151130</wp:posOffset>
            </wp:positionV>
            <wp:extent cx="5863590" cy="2459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6359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sum to 100% due to rounding.</w:t>
      </w:r>
    </w:p>
    <w:p>
      <w:pPr>
        <w:spacing w:after="0" w:line="225" w:lineRule="exact"/>
        <w:rPr>
          <w:sz w:val="20"/>
          <w:szCs w:val="20"/>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 of the Partnership other than StepStone Group Inc. are: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which holds a 100% general partner interest and no economic interests;</w:t>
      </w:r>
    </w:p>
    <w:p>
      <w:pPr>
        <w:spacing w:after="0" w:line="9" w:lineRule="exact"/>
        <w:rPr>
          <w:rFonts w:ascii="Times New Roman" w:cs="Times New Roman" w:eastAsia="Times New Roman" w:hAnsi="Times New Roman"/>
          <w:sz w:val="18"/>
          <w:szCs w:val="18"/>
          <w:color w:val="auto"/>
        </w:rPr>
      </w:pPr>
    </w:p>
    <w:p>
      <w:pPr>
        <w:ind w:left="1300" w:right="240" w:hanging="644"/>
        <w:spacing w:after="0" w:line="250" w:lineRule="auto"/>
        <w:tabs>
          <w:tab w:leader="none" w:pos="129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employee owners and outside investors, all of whom own Class B units and an equivalent number of shares of Class B common stock;</w:t>
      </w: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C units;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D units.</w:t>
      </w:r>
    </w:p>
    <w:p>
      <w:pPr>
        <w:spacing w:after="0" w:line="9" w:lineRule="exact"/>
        <w:rPr>
          <w:rFonts w:ascii="Times New Roman" w:cs="Times New Roman" w:eastAsia="Times New Roman" w:hAnsi="Times New Roman"/>
          <w:sz w:val="18"/>
          <w:szCs w:val="18"/>
          <w:color w:val="auto"/>
        </w:rPr>
      </w:pPr>
    </w:p>
    <w:p>
      <w:pPr>
        <w:ind w:left="660" w:right="80" w:hanging="652"/>
        <w:spacing w:after="0" w:line="250"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80" w:hanging="652"/>
        <w:spacing w:after="0" w:line="255"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18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March 31, 2025 the Sunset Holders collectively maintained direct or indirect beneficial ownership of approximately 27.6% of the Class A common stock (determined assuming all outstanding Class B units have been exchanged for Class A common stock) and approximately 56.1% of the aggregate voting power of our outstanding Class A common stock and Class B common stock. At this time, we anticipate that the Sunset will occur on September 18, 2025.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Ownership of Our Businesses</w:t>
      </w:r>
    </w:p>
    <w:p>
      <w:pPr>
        <w:spacing w:after="0" w:line="22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Certain of our consolidated subsidiaries are not wholly-owned by us. To the extent these subsidiaries are not wholly-owned, substantially all of the other owners are current StepStone professionals working for the related businesses. We believe this ownership structure has benefited us by aligning our interests with the interests of our employees. We use, and expect to continue to use, a combination of our equity ownership, governance rights and other contractual arrangements to control operations of these businesses. As described above, SSG and the Partnership have entered into agreements with each of SRA, SRE and SPD, providing a path to full ownership of these subsidiaries. SSG consolidates all entities that it controls due to a majority voting interest or because it is the primary beneficiary of a variable interest entity. See note 4 to our consolidated financial statements included elsewhere in this annual report for information on variable interest entities. The diagram below summarizes the ownership structure of the Partnership’s consolidated operations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134620</wp:posOffset>
            </wp:positionV>
            <wp:extent cx="5863590" cy="27432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6359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33"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20"/>
          <w:szCs w:val="20"/>
          <w:color w:val="auto"/>
        </w:rPr>
        <w:t>We operate as one business, a fully-integrated private markets solutions provider. Our chief operating decision maker, who is our chief executive officer, utilizes a consolidated approach to assess performance and allocate resources. As such, we operate in one business segment.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Our key financial measures are discussed below. Additional information regarding our significant accounting policies can be found in note 2 to our consolidated financial statements included in Part II, Item 8 of this annual report.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generate revenues primarily from management and advisory fees, incentive fees and allocations of carried interest.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20"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Management and advisory fees, net, consist of fees received from managing SMAs and focused commingled funds, advisory and data services, and portfolio analytics and reporting. </w:t>
      </w:r>
      <w:r>
        <w:rPr>
          <w:rFonts w:ascii="Times New Roman" w:cs="Times New Roman" w:eastAsia="Times New Roman" w:hAnsi="Times New Roman"/>
          <w:sz w:val="20"/>
          <w:szCs w:val="20"/>
          <w:color w:val="231F20"/>
        </w:rPr>
        <w:t>Management fees include income-based incentive fees, which are predictable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recurring in nature and paid quarterly based on net investment income of certain funds</w:t>
      </w:r>
      <w:r>
        <w:rPr>
          <w:rFonts w:ascii="Times New Roman" w:cs="Times New Roman" w:eastAsia="Times New Roman" w:hAnsi="Times New Roman"/>
          <w:sz w:val="20"/>
          <w:szCs w:val="20"/>
          <w:color w:val="000000"/>
        </w:rPr>
        <w:t>.</w:t>
      </w:r>
    </w:p>
    <w:p>
      <w:pPr>
        <w:spacing w:after="0" w:line="181" w:lineRule="exact"/>
        <w:rPr>
          <w:sz w:val="20"/>
          <w:szCs w:val="20"/>
          <w:color w:val="auto"/>
        </w:rPr>
      </w:pPr>
    </w:p>
    <w:p>
      <w:pPr>
        <w:ind w:left="660" w:right="20" w:hanging="328"/>
        <w:spacing w:after="0" w:line="258"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0.39% of average FEAUM in fiscal 2024 and 2025, respectively.</w:t>
      </w:r>
    </w:p>
    <w:p>
      <w:pPr>
        <w:spacing w:after="0" w:line="172" w:lineRule="exact"/>
        <w:rPr>
          <w:rFonts w:ascii="Times New Roman" w:cs="Times New Roman" w:eastAsia="Times New Roman" w:hAnsi="Times New Roman"/>
          <w:sz w:val="20"/>
          <w:szCs w:val="20"/>
          <w:color w:val="auto"/>
        </w:rPr>
      </w:pPr>
    </w:p>
    <w:p>
      <w:pPr>
        <w:ind w:left="660" w:hanging="328"/>
        <w:spacing w:after="0" w:line="253"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0.93% and 1.06% of average FEAUM in fiscal 2024 and 2025, respectively, and primarily reflected the timing of new funds and growth in our private wealth funds which earn higher fee rates.</w:t>
      </w:r>
    </w:p>
    <w:p>
      <w:pPr>
        <w:spacing w:after="0" w:line="192" w:lineRule="exact"/>
        <w:rPr>
          <w:rFonts w:ascii="Times New Roman" w:cs="Times New Roman" w:eastAsia="Times New Roman" w:hAnsi="Times New Roman"/>
          <w:sz w:val="20"/>
          <w:szCs w:val="20"/>
          <w:color w:val="auto"/>
        </w:rPr>
      </w:pPr>
    </w:p>
    <w:p>
      <w:pPr>
        <w:ind w:left="660" w:right="80" w:hanging="328"/>
        <w:spacing w:after="0" w:line="261"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weighted-average management fee rate across SMAs and focused commingled funds was approximately 0.59% and 0.65% of average FEAUM in fiscal 2024 and 2025, respectively, and primarily reflected the timing of new funds, shifts in mix between SMAs and focused commingled funds and growth in our private wealth funds which earn higher fee rates.</w:t>
      </w:r>
    </w:p>
    <w:p>
      <w:pPr>
        <w:spacing w:after="0" w:line="181" w:lineRule="exact"/>
        <w:rPr>
          <w:rFonts w:ascii="Times New Roman" w:cs="Times New Roman" w:eastAsia="Times New Roman" w:hAnsi="Times New Roman"/>
          <w:sz w:val="20"/>
          <w:szCs w:val="20"/>
          <w:color w:val="auto"/>
        </w:rPr>
      </w:pPr>
    </w:p>
    <w:p>
      <w:pPr>
        <w:ind w:left="660" w:hanging="328"/>
        <w:spacing w:after="0" w:line="253"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 revenues from advisory, StepStone Portfolio Analytics &amp; Reporting (“SPAR”) and SPI Research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91" w:lineRule="exact"/>
        <w:rPr>
          <w:rFonts w:ascii="Times New Roman" w:cs="Times New Roman" w:eastAsia="Times New Roman" w:hAnsi="Times New Roman"/>
          <w:sz w:val="20"/>
          <w:szCs w:val="20"/>
          <w:color w:val="auto"/>
        </w:rPr>
      </w:pPr>
    </w:p>
    <w:p>
      <w:pPr>
        <w:ind w:left="660" w:right="20" w:hanging="328"/>
        <w:spacing w:after="0" w:line="258"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6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Performance Fees</w:t>
      </w:r>
    </w:p>
    <w:p>
      <w:pPr>
        <w:spacing w:after="0" w:line="233" w:lineRule="exact"/>
        <w:rPr>
          <w:sz w:val="20"/>
          <w:szCs w:val="20"/>
          <w:color w:val="auto"/>
        </w:rPr>
      </w:pPr>
    </w:p>
    <w:p>
      <w:pPr>
        <w:ind w:right="160" w:firstLine="648"/>
        <w:spacing w:after="0" w:line="295" w:lineRule="auto"/>
        <w:rPr>
          <w:sz w:val="20"/>
          <w:szCs w:val="20"/>
          <w:color w:val="auto"/>
        </w:rPr>
      </w:pPr>
      <w:r>
        <w:rPr>
          <w:rFonts w:ascii="Times New Roman" w:cs="Times New Roman" w:eastAsia="Times New Roman" w:hAnsi="Times New Roman"/>
          <w:sz w:val="19"/>
          <w:szCs w:val="19"/>
          <w:color w:val="auto"/>
        </w:rPr>
        <w:t>We earn two types of performance fee revenues: incentive fees and carried interest allocations, as described below. As of March 31, 2025, we had over $95 billion of performance fee-eligible capital (excluding certain legacy Greenspring funds) across over 225 programs.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comprise fees earned from certain client investment mandates for which we do not have a general partnership interest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a StepStone Fund. </w:t>
      </w:r>
      <w:r>
        <w:rPr>
          <w:rFonts w:ascii="Times New Roman" w:cs="Times New Roman" w:eastAsia="Times New Roman" w:hAnsi="Times New Roman"/>
          <w:sz w:val="20"/>
          <w:szCs w:val="20"/>
          <w:color w:val="231F20"/>
        </w:rPr>
        <w:t>Incentive fees</w:t>
      </w:r>
      <w:r>
        <w:rPr>
          <w:rFonts w:ascii="Times New Roman" w:cs="Times New Roman" w:eastAsia="Times New Roman" w:hAnsi="Times New Roman"/>
          <w:sz w:val="20"/>
          <w:szCs w:val="20"/>
          <w:color w:val="auto"/>
        </w:rPr>
        <w:t xml:space="preserve">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8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us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Legacy Greenspring carried interest allocations </w:t>
      </w:r>
      <w:r>
        <w:rPr>
          <w:rFonts w:ascii="Times New Roman" w:cs="Times New Roman" w:eastAsia="Times New Roman" w:hAnsi="Times New Roman"/>
          <w:sz w:val="20"/>
          <w:szCs w:val="20"/>
          <w:color w:val="auto"/>
        </w:rPr>
        <w:t>include the allocation of carried interest to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 interest allocations in respect of such legacy Greenspring funds are payable to employees who are considered affiliates to us and are therefore reflected as legacy Greenspring performance fee-related compensation in the consolidated statements of income</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19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March 31, 2025 and 2024, no material amounts for potential clawback obligations had been accrued.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16"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primarily includes salaries, bonuses, employee benefits, cash-based incentive awards and employer-related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payroll taxes.</w:t>
      </w:r>
    </w:p>
    <w:p>
      <w:pPr>
        <w:spacing w:after="0" w:line="138" w:lineRule="exact"/>
        <w:rPr>
          <w:sz w:val="20"/>
          <w:szCs w:val="20"/>
          <w:color w:val="auto"/>
        </w:rPr>
      </w:pPr>
    </w:p>
    <w:p>
      <w:pPr>
        <w:ind w:right="62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 related awards or arrangements to certain employees and directors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 associated with the employee stock purchase plan (“ESPP”).</w:t>
      </w:r>
    </w:p>
    <w:p>
      <w:pPr>
        <w:spacing w:after="0" w:line="152"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Performance fee-related compensation </w:t>
      </w:r>
      <w:r>
        <w:rPr>
          <w:rFonts w:ascii="Times New Roman" w:cs="Times New Roman" w:eastAsia="Times New Roman" w:hAnsi="Times New Roman"/>
          <w:sz w:val="20"/>
          <w:szCs w:val="20"/>
          <w:color w:val="auto"/>
        </w:rPr>
        <w:t>represents the portion of carried interest allocation revenue and incentive fees that have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awarded to employees as a form of long-term incentive compensation. Performance fee-related compensation is generally tied to the investment performance of the StepStone Funds. Approximately 50% of carried interest allocation revenue is awarded to employees as part 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consolidated balance sheets.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w:t>
      </w:r>
      <w:r>
        <w:rPr>
          <w:rFonts w:ascii="Times New Roman" w:cs="Times New Roman" w:eastAsia="Times New Roman" w:hAnsi="Times New Roman"/>
          <w:sz w:val="20"/>
          <w:szCs w:val="20"/>
          <w:color w:val="231F20"/>
        </w:rPr>
        <w:t>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April 1, 2024, certain of our non-wholly 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 The class of interests relating to awards of carried interest allocations granted to employees were previously presented as carried interest-related compensation expense.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entirely payable to certain employees. Legacy Greenspring carried interest-related compensation is accounted for as compensation expense in conjunction with the related legacy Greenspring carried interest allocation revenue and, until paid, is recorded as a component of legacy Greenspring accrued carried interest-related compensation in the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7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amortization of intangible assets, system-related costs, and other general costs associated with operating our business. Beginning in the quarter ended December 31, 2022, general, administrative and other includes costs associated with the Consolidated Funds. Expenses of the Consolidated Funds have no impact on net income or loss attributable to us to the extent such expenses are borne by third-party investors.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Investment income (loss) </w:t>
      </w:r>
      <w:r>
        <w:rPr>
          <w:rFonts w:ascii="Times New Roman" w:cs="Times New Roman" w:eastAsia="Times New Roman" w:hAnsi="Times New Roman"/>
          <w:sz w:val="20"/>
          <w:szCs w:val="20"/>
          <w:color w:val="auto"/>
        </w:rPr>
        <w:t>primarily represents our share of earnings (losses) from the investments we make in our SMAs and focused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64"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Legacy Greenspring investment income (loss) </w:t>
      </w:r>
      <w:r>
        <w:rPr>
          <w:rFonts w:ascii="Times New Roman" w:cs="Times New Roman" w:eastAsia="Times New Roman" w:hAnsi="Times New Roman"/>
          <w:sz w:val="20"/>
          <w:szCs w:val="20"/>
          <w:color w:val="auto"/>
        </w:rPr>
        <w:t>represents our share of earnings (losses) from the investments we make in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29" w:lineRule="exact"/>
        <w:rPr>
          <w:sz w:val="20"/>
          <w:szCs w:val="20"/>
          <w:color w:val="auto"/>
        </w:rPr>
      </w:pPr>
    </w:p>
    <w:p>
      <w:pPr>
        <w:ind w:right="10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and cash equivalents, restricted cash,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65" w:lineRule="exact"/>
        <w:rPr>
          <w:sz w:val="20"/>
          <w:szCs w:val="20"/>
          <w:color w:val="auto"/>
        </w:rPr>
      </w:pPr>
    </w:p>
    <w:p>
      <w:pPr>
        <w:ind w:right="54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and the Notes, as well as the related amortization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deferred financing costs.</w:t>
      </w:r>
    </w:p>
    <w:p>
      <w:pPr>
        <w:spacing w:after="0" w:line="138" w:lineRule="exact"/>
        <w:rPr>
          <w:sz w:val="20"/>
          <w:szCs w:val="20"/>
          <w:color w:val="auto"/>
        </w:rPr>
      </w:pPr>
    </w:p>
    <w:p>
      <w:pPr>
        <w:ind w:right="4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non-operating activities,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consolidated statements of income. As a result, the Partnership does not record U.S. federal and state income taxes on income generated by the Partnership or its subsidiaries, except for certain local and foreign income taxes discussed above.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consolidated statements of income to clearly distinguish between our interests and the economic interests of third parties and employees in those entities. Net income (loss) attributable to SSG, as reported in the consolidated statements of income, is presented net of the portion of net income (loss) attributable to holders of non-controlling interests.</w:t>
      </w:r>
    </w:p>
    <w:p>
      <w:pPr>
        <w:spacing w:after="0" w:line="188"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4"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legacy Greenspring entities </w:t>
      </w:r>
      <w:r>
        <w:rPr>
          <w:rFonts w:ascii="Times New Roman" w:cs="Times New Roman" w:eastAsia="Times New Roman" w:hAnsi="Times New Roman"/>
          <w:sz w:val="19"/>
          <w:szCs w:val="19"/>
          <w:color w:val="auto"/>
        </w:rPr>
        <w:t>represent the economic interests in the legacy Greenspring general partner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entities. We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59"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the Partnership </w:t>
      </w:r>
      <w:r>
        <w:rPr>
          <w:rFonts w:ascii="Times New Roman" w:cs="Times New Roman" w:eastAsia="Times New Roman" w:hAnsi="Times New Roman"/>
          <w:sz w:val="19"/>
          <w:szCs w:val="19"/>
          <w:color w:val="auto"/>
        </w:rPr>
        <w:t>represent the economic interests in the Partnership held by the Class B, Class C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Class D 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211" w:lineRule="exact"/>
        <w:rPr>
          <w:sz w:val="20"/>
          <w:szCs w:val="20"/>
          <w:color w:val="auto"/>
        </w:rPr>
      </w:pPr>
    </w:p>
    <w:p>
      <w:pPr>
        <w:ind w:right="120" w:firstLine="648"/>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Redeemable non-controlling interests in subsidiaries </w:t>
      </w:r>
      <w:r>
        <w:rPr>
          <w:rFonts w:ascii="Times New Roman" w:cs="Times New Roman" w:eastAsia="Times New Roman" w:hAnsi="Times New Roman"/>
          <w:sz w:val="19"/>
          <w:szCs w:val="19"/>
          <w:color w:val="auto"/>
        </w:rPr>
        <w:t>represent the redeemable economic interests in the consolidated subsidiaries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Partnership held by third parties and employees in those entities that were established in connection with the Transaction Agreements.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20"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We monitor certain operating metrics that are either common to the asset management industry or that we believe provide important data regarding our business.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20"/>
          <w:szCs w:val="20"/>
          <w:color w:val="auto"/>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Our AUM is calculated as the sum of (i) the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March 31, 2025 reflects final data for the prior period (December 31, 2024), adjusted for net new client account activity through March 31, 2025. NAV data for underlying investments is as of December 31, 2024, as reported by underlying managers up to the business day occurring on or after 115 days following December 31, 2024. When NAV data is not available by the business day occurring on or after 115 days following December 31, 2024, such NAVs are adjusted for cash activity following the last available reported NAV.</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 xml:space="preserve">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t>
      </w:r>
      <w:r>
        <w:rPr>
          <w:rFonts w:ascii="Times New Roman" w:cs="Times New Roman" w:eastAsia="Times New Roman" w:hAnsi="Times New Roman"/>
          <w:sz w:val="20"/>
          <w:szCs w:val="20"/>
          <w:color w:val="231F20"/>
        </w:rPr>
        <w:t>We believe AUA is a useful metric for assessing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the relative size of our advisory business.</w:t>
      </w:r>
    </w:p>
    <w:p>
      <w:pPr>
        <w:spacing w:after="0" w:line="193"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March 31, 2025 reflects final data for the prior period (December 31, 2024), adjusted for net new client account activity through March 31, 2025. NAV data for underlying investments is as of December 31, 2024, as reported by underlying managers up to the business day occurring on or after 115 days following December 31, 2024. When NAV data is not available by the business day occurring on or after 115 days following December 31, 2024, such NAVs are adjusted for cash activity following the last available reported NAV.</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2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 xml:space="preserve">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t>
      </w:r>
      <w:r>
        <w:rPr>
          <w:rFonts w:ascii="Times New Roman" w:cs="Times New Roman" w:eastAsia="Times New Roman" w:hAnsi="Times New Roman"/>
          <w:sz w:val="20"/>
          <w:szCs w:val="20"/>
          <w:color w:val="231F20"/>
        </w:rPr>
        <w:t>We believe FEAUM is a useful metric in order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assess assets forming the basis of our management fee revenue.</w:t>
      </w:r>
    </w:p>
    <w:p>
      <w:pPr>
        <w:spacing w:after="0" w:line="179" w:lineRule="exact"/>
        <w:rPr>
          <w:sz w:val="20"/>
          <w:szCs w:val="20"/>
          <w:color w:val="auto"/>
        </w:rPr>
      </w:pPr>
    </w:p>
    <w:p>
      <w:pPr>
        <w:ind w:right="500" w:firstLine="648"/>
        <w:spacing w:after="0" w:line="283" w:lineRule="auto"/>
        <w:rPr>
          <w:sz w:val="20"/>
          <w:szCs w:val="20"/>
          <w:color w:val="auto"/>
        </w:rPr>
      </w:pPr>
      <w:r>
        <w:rPr>
          <w:rFonts w:ascii="Times New Roman" w:cs="Times New Roman" w:eastAsia="Times New Roman" w:hAnsi="Times New Roman"/>
          <w:sz w:val="20"/>
          <w:szCs w:val="20"/>
          <w:color w:val="auto"/>
        </w:rPr>
        <w:t>Our calculation of FEAUM may differ from the calculations of other asset managers and, as a result, may not be comparable to similar measures presented by other asset managers.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Undeployed Fee-Earning Capital</w:t>
      </w:r>
    </w:p>
    <w:p>
      <w:pPr>
        <w:spacing w:after="0" w:line="22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0"/>
          <w:szCs w:val="20"/>
          <w:color w:val="auto"/>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 of StepStone Funds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activity of the Consolidated Funds is reflected within the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33" w:lineRule="exact"/>
        <w:rPr>
          <w:sz w:val="20"/>
          <w:szCs w:val="20"/>
          <w:color w:val="auto"/>
        </w:rPr>
      </w:pPr>
    </w:p>
    <w:p>
      <w:pPr>
        <w:ind w:right="480" w:firstLine="648"/>
        <w:spacing w:after="0" w:line="276" w:lineRule="auto"/>
        <w:rPr>
          <w:sz w:val="20"/>
          <w:szCs w:val="20"/>
          <w:color w:val="auto"/>
        </w:rPr>
      </w:pPr>
      <w:r>
        <w:rPr>
          <w:rFonts w:ascii="Times New Roman" w:cs="Times New Roman" w:eastAsia="Times New Roman" w:hAnsi="Times New Roman"/>
          <w:sz w:val="19"/>
          <w:szCs w:val="19"/>
          <w:color w:val="auto"/>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consolidated results of operations for the periods presented. The information is derived from our accompanying consolidated financial statements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advisory fees, net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767,014</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585,140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497,179</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fees: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Incentive fees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9,663</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Carried interest allocations: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Realized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131,089</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Unrealized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(253,342)</w:t>
            </w:r>
          </w:p>
        </w:tc>
        <w:tc>
          <w:tcPr>
            <w:tcW w:w="0" w:type="dxa"/>
            <w:vAlign w:val="bottom"/>
          </w:tcPr>
          <w:p>
            <w:pPr>
              <w:spacing w:after="0"/>
              <w:rPr>
                <w:sz w:val="1"/>
                <w:szCs w:val="1"/>
                <w:color w:val="auto"/>
              </w:rPr>
            </w:pPr>
          </w:p>
        </w:tc>
      </w:tr>
      <w:tr>
        <w:trPr>
          <w:trHeight w:val="189"/>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carried interest allocations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(122,253)</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Legacy Greenspring carried interest allocations</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(452,163)</w:t>
            </w: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performance fees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407,816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126,491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(564,753)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1,174,830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711,631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(67,574)</w:t>
            </w:r>
          </w:p>
        </w:tc>
        <w:tc>
          <w:tcPr>
            <w:tcW w:w="0" w:type="dxa"/>
            <w:vAlign w:val="bottom"/>
          </w:tcPr>
          <w:p>
            <w:pPr>
              <w:spacing w:after="0"/>
              <w:rPr>
                <w:sz w:val="1"/>
                <w:szCs w:val="1"/>
                <w:color w:val="auto"/>
              </w:rPr>
            </w:pPr>
          </w:p>
        </w:tc>
      </w:tr>
      <w:tr>
        <w:trPr>
          <w:trHeight w:val="17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Cash-based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252,180</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669,126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24,940</w:t>
            </w: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Performance fee-related compensation:</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Realized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79,846</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Unrealized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94,272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(119,039)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performance fee-related compensation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(39,193)</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360"/>
              <w:spacing w:after="0" w:line="202" w:lineRule="exact"/>
              <w:rPr>
                <w:sz w:val="20"/>
                <w:szCs w:val="20"/>
                <w:color w:val="auto"/>
              </w:rPr>
            </w:pPr>
            <w:r>
              <w:rPr>
                <w:rFonts w:ascii="Times New Roman" w:cs="Times New Roman" w:eastAsia="Times New Roman" w:hAnsi="Times New Roman"/>
                <w:sz w:val="14"/>
                <w:szCs w:val="14"/>
                <w:color w:val="auto"/>
              </w:rPr>
              <w:t>Legacy Greenspring performance fee-related compensation</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74,341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(75,157)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(452,163)</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1,264,295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(214,236)</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147,159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1,441,649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539,860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(67,077)</w:t>
            </w:r>
          </w:p>
        </w:tc>
        <w:tc>
          <w:tcPr>
            <w:tcW w:w="0" w:type="dxa"/>
            <w:vAlign w:val="bottom"/>
          </w:tcPr>
          <w:p>
            <w:pPr>
              <w:spacing w:after="0"/>
              <w:rPr>
                <w:sz w:val="1"/>
                <w:szCs w:val="1"/>
                <w:color w:val="auto"/>
              </w:rPr>
            </w:pPr>
          </w:p>
        </w:tc>
      </w:tr>
      <w:tr>
        <w:trPr>
          <w:trHeight w:val="17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 (loss)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Legacy Greenspring investment loss</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 of Consolidated Funds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9,315</w:t>
            </w: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(loss)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(32,650)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(40,957)</w:t>
            </w:r>
          </w:p>
        </w:tc>
        <w:tc>
          <w:tcPr>
            <w:tcW w:w="0" w:type="dxa"/>
            <w:vAlign w:val="bottom"/>
          </w:tcPr>
          <w:p>
            <w:pPr>
              <w:spacing w:after="0"/>
              <w:rPr>
                <w:sz w:val="1"/>
                <w:szCs w:val="1"/>
                <w:color w:val="auto"/>
              </w:rPr>
            </w:pPr>
          </w:p>
        </w:tc>
      </w:tr>
      <w:tr>
        <w:trPr>
          <w:trHeight w:val="189"/>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(41,454)</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0" w:type="dxa"/>
            <w:vAlign w:val="bottom"/>
          </w:tcPr>
          <w:p>
            <w:pPr>
              <w:spacing w:after="0"/>
              <w:rPr>
                <w:sz w:val="1"/>
                <w:szCs w:val="1"/>
                <w:color w:val="auto"/>
              </w:rPr>
            </w:pPr>
          </w:p>
        </w:tc>
      </w:tr>
      <w:tr>
        <w:trPr>
          <w:trHeight w:val="189"/>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(45,275)</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 in subsidiaries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35,194</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line="202" w:lineRule="exact"/>
              <w:rPr>
                <w:sz w:val="20"/>
                <w:szCs w:val="20"/>
                <w:color w:val="auto"/>
              </w:rPr>
            </w:pPr>
            <w:r>
              <w:rPr>
                <w:rFonts w:ascii="Times New Roman" w:cs="Times New Roman" w:eastAsia="Times New Roman" w:hAnsi="Times New Roman"/>
                <w:sz w:val="14"/>
                <w:szCs w:val="14"/>
                <w:color w:val="auto"/>
              </w:rPr>
              <w:t>Less: Net loss attributable to non-controlling interests in legacy Greenspring entities</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 in the Partnership</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(19,772)</w:t>
            </w: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Less: Net income attributable to redeemable non-controlling interests in Consolidated Funds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Net income attributable to redeemable non-controlling interests in subsidiaries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StepStone Group Inc.</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(179,563)</w:t>
            </w:r>
          </w:p>
        </w:tc>
        <w:tc>
          <w:tcPr>
            <w:tcW w:w="10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58,091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_______________________________</w:t>
      </w:r>
    </w:p>
    <w:p>
      <w:pPr>
        <w:spacing w:after="0" w:line="32" w:lineRule="exact"/>
        <w:rPr>
          <w:sz w:val="20"/>
          <w:szCs w:val="20"/>
          <w:color w:val="auto"/>
        </w:rPr>
      </w:pPr>
    </w:p>
    <w:p>
      <w:pPr>
        <w:ind w:left="660" w:right="320" w:hanging="652"/>
        <w:spacing w:after="0" w:line="279" w:lineRule="auto"/>
        <w:tabs>
          <w:tab w:leader="none" w:pos="65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attributable to consolidated VIEs for which we did not acquire any direct economic interests. See notes 3 and 5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33"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9"/>
          <w:szCs w:val="19"/>
          <w:color w:val="auto"/>
        </w:rPr>
        <w:t>Total revenues increased $463.2 million, or 65%, to $1,174.8 million for fiscal 2025 as compared to fiscal 2024. The overall increase was driven by higher management and advisory fees, net, positive legacy Greenspring carried interest allocations in the current period as compared to a reversal in the prior year period, higher carried interest allocations and higher incentive fees, in each case, as described below.</w:t>
      </w:r>
    </w:p>
    <w:p>
      <w:pPr>
        <w:spacing w:after="0" w:line="16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Management and advisory fees, net increased $181.9 million, or 31%, to $767.0 million for fiscal 2025 as compared to fiscal 2024. The increase was driven by new client activity and 23% growth in average FEAUM across the platform, as well as retroactive fees of $42.8 million from the closings of StepStone’s Secondary Opportunities V, Real Estate Partners V, Infrastructure Co-Investment Partners 2022, Tactical Growth Fund IV and VC Global Partners XI funds. The prior year period included $11.6 million of retroactive fees from the closings of StepStone’s Secondary Opportunities V, VC Global Partners XI and Infrastructure Co-Investment Partners 2022 funds.</w:t>
      </w:r>
    </w:p>
    <w:p>
      <w:pPr>
        <w:spacing w:after="0" w:line="192" w:lineRule="exact"/>
        <w:rPr>
          <w:sz w:val="20"/>
          <w:szCs w:val="20"/>
          <w:color w:val="auto"/>
        </w:rPr>
      </w:pPr>
    </w:p>
    <w:p>
      <w:pPr>
        <w:ind w:right="500" w:firstLine="648"/>
        <w:spacing w:after="0" w:line="269" w:lineRule="auto"/>
        <w:rPr>
          <w:sz w:val="20"/>
          <w:szCs w:val="20"/>
          <w:color w:val="auto"/>
        </w:rPr>
      </w:pPr>
      <w:r>
        <w:rPr>
          <w:rFonts w:ascii="Times New Roman" w:cs="Times New Roman" w:eastAsia="Times New Roman" w:hAnsi="Times New Roman"/>
          <w:sz w:val="20"/>
          <w:szCs w:val="20"/>
          <w:color w:val="auto"/>
        </w:rPr>
        <w:t>Incentive fees increased $6.9 million, or 27%, to $32.3 million for fiscal 2025 as compared to fiscal 2024, largely due to higher incentive fees generated by StepStone’s Private Venture and Growth Fund (“SPRING”).</w:t>
      </w:r>
    </w:p>
    <w:p>
      <w:pPr>
        <w:spacing w:after="0" w:line="17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Realized carried interest allocation revenues increased $110.3 million, or 223%, to $159.7 million for fiscal 2025 as compared to fiscal 2024, reflecting higher realization activity within our private equity and infrastructure funds. Unrealized carried interest allocation revenues include the reversal of realized carried interest allocation revenues. Excluding the reversal of $159.7 million, unrealized carried interest allocation revenues increased $124.9 million, or 71%, to $301.2 million for fiscal 2025 compared to fiscal 2024. The increase in unrealized carried interest allocations for fiscal 2025 primarily reflected a higher net increase in the cumulative allocation of gains associated with the underlying portfolios within our private equity funds as compared to the prior year.</w:t>
      </w:r>
    </w:p>
    <w:p>
      <w:pPr>
        <w:spacing w:after="0" w:line="179" w:lineRule="exact"/>
        <w:rPr>
          <w:sz w:val="20"/>
          <w:szCs w:val="20"/>
          <w:color w:val="auto"/>
        </w:rPr>
      </w:pPr>
    </w:p>
    <w:p>
      <w:pPr>
        <w:ind w:right="30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carried interest allocation revenues increased $149.5 million to $74.3 million for fiscal 2025 as compared to fiscal 2024 as a result of net unrealized appreciation in the fair value of certain underlying fund investments in the current year period as compared to net unrealized depreciation in the prior year period. Fiscal 2025 reflects gross realized carried interest allocations of $63.1 million and unrealized carried interest allocations, net of the reversal of carried interest allocations, of $11.2 million. Fiscal 2024 reflects gross realized carried interest allocations of $59.7 million and unrealized carried interest allocations, net of the reversal of realized carried interest allocations, of $(134.9) million.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3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Total revenues increased $779.2 million to $711.6 million for fiscal 2024 as compared to fiscal 2023, due to positive carried interest allocations in the current year as compared to a reversal of carried interest allocations in the prior year period, a lower reversal of legacy Greenspring carried interest allocations in the current period as compared to the prior year, and higher management and advisory fees, net and incentive fees, in each case, as described below.</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Management and advisory fees, net increased $88.0 million, or 18%, to $585.1 million for fiscal 2024 as compared to fiscal 2023. The increase was driven by new client activity and 9% growth in average FEAUM across the platform, as well as retroactive fees of $11.6 million from the closings of StepStone’s Secondary Opportunities V, VC Global Partners XI and Infrastructure Co-Investment Partners 2022 funds. The prior year period included $2.8 million of retroactive fees from the closings of StepStone’s Capital Partners V and VC Global Partners XI funds.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500" w:firstLine="648"/>
        <w:spacing w:after="0" w:line="269" w:lineRule="auto"/>
        <w:rPr>
          <w:sz w:val="20"/>
          <w:szCs w:val="20"/>
          <w:color w:val="auto"/>
        </w:rPr>
      </w:pPr>
      <w:r>
        <w:rPr>
          <w:rFonts w:ascii="Times New Roman" w:cs="Times New Roman" w:eastAsia="Times New Roman" w:hAnsi="Times New Roman"/>
          <w:sz w:val="20"/>
          <w:szCs w:val="20"/>
          <w:color w:val="auto"/>
        </w:rPr>
        <w:t>Incentive fees increased $15.7 million, or 162%, to $25.3 million for fiscal 2024 as compared to fiscal 2023, reflecting positive investment performance and higher realization activity.</w:t>
      </w:r>
    </w:p>
    <w:p>
      <w:pPr>
        <w:spacing w:after="0" w:line="17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Realized carried interest allocation revenues decreased $81.7 million, or 62%, to $49.4 million for fiscal 2024 as compared to fiscal 2023, reflecting lower realization activity within our private equity funds. Unrealized carried interest allocation revenues include the reversal of realized carried interest allocation revenues. Excluding the reversal of $49.4 million, unrealized carried interest allocation revenues increased $298.6 million to $176.3 million for fiscal 2024 as compared to fiscal 2023. The increase in unrealized carried interest allocations for fiscal 2024 primarily reflected a net increase in the cumulative allocation of gains associated with the underlying portfolios within our private equity funds.</w:t>
      </w:r>
    </w:p>
    <w:p>
      <w:pPr>
        <w:spacing w:after="0" w:line="17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carried interest allocation revenues increased $377.0 million, or 83%, to $(75.2) million for fiscal 2024 as compared to fiscal 2023 as a result of lower net unrealized depreciation in the fair value of certain underlying fund investments in the current year period as compared to the prior year period. Fiscal 2024 reflects gross realized carried interest allocations of $59.7 million and unrealized carried interest allocations, net of the reversal of carried interest allocations, of $(134.9) million. Fiscal 2023 reflects gross realized carried interest allocations of $74.7 million and unrealized carried interest allocations, net of the reversal of realized carried interest allocations, of $(526.8) million.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2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Total expenses increased $901.8 million, or 167%, to $1,441.6 million for fiscal 2025 as compared to fiscal 2024. The overall increase resulted from increases in equity-based compensation, legacy Greenspring performance fee-related compensation, performance fee-related compensation, cash-based compensation and general, administrative and other expenses, in each case, as described below.</w:t>
      </w:r>
    </w:p>
    <w:p>
      <w:pPr>
        <w:spacing w:after="0" w:line="181"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$38.8 million, or 13%, to $331.8 million for fiscal 2025 as compared to fiscal 2024, due to increased staffing and compensation levels. Our average headcount increased 8% in the current year period as compared to the prior year period.</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Equity-based compensation increased $626.8 million to $669.1 million for fiscal 2025 as compared to fiscal 2024. The increase was primarily attributable to a $629.0 million increase in expenses for liability classified awards related to the profits interest issued in SPW in the current year period as compared to the prior year period, as well as $3.5 million related to the full year impact of restricted stock units (“RSUs”) awarded to certain employees and directors in the prior year period and additional grants of RSUs granted in the current year period and no comparable expense for these grants in the prior year period. These increases were partially offset by a decrease of $5.5 million in expense due to the final vesting of RSUs issued in connection with our IPO.</w:t>
      </w:r>
    </w:p>
    <w:p>
      <w:pPr>
        <w:spacing w:after="0" w:line="17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Total performance fee-related compensation expense increased $76.6 million, or 68%, to $189.0 million for fiscal 2025 as compared to fiscal 2024, primarily reflecting the increase in carried interest allocation revenue. Realized performance fee-related compensation increased $57.1 million, or 151%, to $94.7 million for fiscal 2025 as compared to fiscal 2024, primarily reflecting higher realization activity and higher incentive fees from SPRING.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9"/>
          <w:szCs w:val="19"/>
          <w:color w:val="auto"/>
        </w:rPr>
        <w:t>Legacy Greenspring performance fee-related compensation expense increased $149.5 million to $74.3 million for fiscal 2025 as compared to fiscal 2024. Fiscal 2025 reflects gross realized performance fee-related compensation expense of $63.1 million and unrealized performance fee-related compensation expense, net of the reversal of realized performance fee-related compensation expense, of $11.2 million. Fiscal 2024 reflects gross realized performance fee-related compensation expense of $59.7 million and unrealized performance fee-related compensation expense, net of the reversal of realized performance fee-related compensation expense, of $(134.9) million.</w:t>
      </w:r>
    </w:p>
    <w:p>
      <w:pPr>
        <w:spacing w:after="0" w:line="175"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General, administrative and other expenses increased $10.0 million, or 6%, to $177.4 million for fiscal 2025 as compared to fiscal 2024. The overall increase primarily reflected $3.9 million in travel and associated costs for investment evaluation and client service, $3.5 million in marketing and conference expenses, $2.5 million in professional fees, $2.1 million in information and technology expenses, $1.6 million in general and administrative expenses for the Consolidated Funds, $1.4 million in human resources and recruiting expenses, $1.3 million in occupancy costs and other general operating expenses, partially offset by decreases of $3.9 million in transaction costs, $1.9 million in accelerated depreciation for leasehold improvements due to a reduction in lease terms in the prior year, $1.4 million in intangibles amortization and $1.1 million for lower loss on change in fair value for contingent consideration obligation.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20" w:lineRule="exact"/>
        <w:rPr>
          <w:sz w:val="20"/>
          <w:szCs w:val="20"/>
          <w:color w:val="auto"/>
        </w:rPr>
      </w:pPr>
    </w:p>
    <w:p>
      <w:pPr>
        <w:jc w:val="both"/>
        <w:ind w:right="120" w:firstLine="648"/>
        <w:spacing w:after="0" w:line="288" w:lineRule="auto"/>
        <w:rPr>
          <w:sz w:val="20"/>
          <w:szCs w:val="20"/>
          <w:color w:val="auto"/>
        </w:rPr>
      </w:pPr>
      <w:r>
        <w:rPr>
          <w:rFonts w:ascii="Times New Roman" w:cs="Times New Roman" w:eastAsia="Times New Roman" w:hAnsi="Times New Roman"/>
          <w:sz w:val="19"/>
          <w:szCs w:val="19"/>
          <w:color w:val="auto"/>
        </w:rPr>
        <w:t>Total expenses increased $606.9 million to $539.9 million for fiscal 2024 as compared to fiscal 2023. The overall increase resulted from a lower reversal of legacy Greenspring performance fee-related compensation and increases in performance fee-related compensation, cash-based compensation, general, administrative and other expenses and equity-based compensation, in each case, as described below.</w:t>
      </w:r>
    </w:p>
    <w:p>
      <w:pPr>
        <w:spacing w:after="0" w:line="14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$40.8 million, or 16%, to $293.0 million for fiscal 2024 as compared to fiscal 2023, due to increased staffing and compensation levels. Our average headcount increased 11% in the current year period as compared to the prior year period.</w:t>
      </w:r>
    </w:p>
    <w:p>
      <w:pPr>
        <w:spacing w:after="0" w:line="181" w:lineRule="exact"/>
        <w:rPr>
          <w:sz w:val="20"/>
          <w:szCs w:val="20"/>
          <w:color w:val="auto"/>
        </w:rPr>
      </w:pPr>
    </w:p>
    <w:p>
      <w:pPr>
        <w:ind w:right="80" w:firstLine="648"/>
        <w:spacing w:after="0" w:line="276" w:lineRule="auto"/>
        <w:rPr>
          <w:sz w:val="20"/>
          <w:szCs w:val="20"/>
          <w:color w:val="auto"/>
        </w:rPr>
      </w:pPr>
      <w:r>
        <w:rPr>
          <w:rFonts w:ascii="Times New Roman" w:cs="Times New Roman" w:eastAsia="Times New Roman" w:hAnsi="Times New Roman"/>
          <w:sz w:val="19"/>
          <w:szCs w:val="19"/>
          <w:color w:val="auto"/>
        </w:rPr>
        <w:t>Equity-based compensation increased $17.4 million, or 70%, to $42.4 million for fiscal 2024 as compared to fiscal 2023. The increase was primarily attributable to an increase in expenses related to liability classified awards in the current year period of $14.3 million as compared to the prior year period, as well as the full year impact of RSUs awarded to certain employees and directors in the prior year period and additional grants of RSUs granted in the current year period and no comparable expense for these grants in the prior year period.</w:t>
      </w:r>
    </w:p>
    <w:p>
      <w:pPr>
        <w:spacing w:after="0" w:line="15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Total performance fee-related compensation expense increased $151.6 million to $112.4 million for fiscal 2024 as compared to fiscal 2023, primarily reflecting the increase in carried interest allocation revenue. Realized performance fee-related compensation decreased $42.2 million, or 53%, to $37.7 million for fiscal 2024 as compared to fiscal 2023, primarily reflecting lower realization activity.</w:t>
      </w:r>
    </w:p>
    <w:p>
      <w:pPr>
        <w:spacing w:after="0" w:line="16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increased $377.0 million, or 83%, to $(75.2) million for fiscal 2024 as compared to fiscal 2023. Fiscal 2024 reflects gross realized performance fee-related compensation expense of $59.7 million and unrealized performance fee-related compensation expense, net of the reversal of realized performance fee-related compensation expense, of $(134.9) million. Fiscal 2023 reflects gross realized performance fee-related compensation expense of $74.7 million and unrealized performance fee-related compensation expense, net of the reversal of realized performance fee-related compensation expense, of $(526.8) million.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increased $20.2 million, or 14%, to $167.3 million for fiscal 2024 as compared to fiscal 2023. The overall increase primarily reflected increases of $7.9 million due to a higher loss on change in fair value for contingent consideration obligation, $4.0 million in professional fees, $2.9 million in information and technology expenses, $2.9 million of travel and associated costs for investment evaluation and client service, $2.6 million due to a prior year gain within occupancy costs related to lease remeasurement adjustments due to a reduction in lease terms and $1.5 million in occupancy costs, partially offset by a decrease of $2.0 million in transaction costs and other general operating expenses.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20"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Investment income increased $7.6 million, or 103%, to $15.1 million for fiscal 2025 as compared to fiscal 2024, primarily reflecting overall changes in the valuations of the underlying investments in the StepStone Funds.</w:t>
      </w:r>
    </w:p>
    <w:p>
      <w:pPr>
        <w:spacing w:after="0" w:line="16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Legacy Greenspring investment loss decreased $7.9 million, or 87%, to $1.2 million for fiscal 2025 as compared to fiscal 2024. Fiscal 2025 reflects gross realized investment income of $7.9 million and unrealized investment loss, net of the reversal of realized investment income, of $9.1 million. Fiscal 2024 reflects gross realized investment income of $5.3 million and unrealized investment loss, net of the reversal of realized investment income, of $14.4 million.</w:t>
      </w:r>
    </w:p>
    <w:p>
      <w:pPr>
        <w:spacing w:after="0" w:line="187"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of Consolidated Funds increased $36.9 million, or 130%, to $65.4 million for fiscal 2025 as compared to fiscal 2024, primarily reflecting overall changes in the valuations of the underlying investments of the Consolidated Funds on higher investment balances during the current year period as compared with the prior year period.</w:t>
      </w:r>
    </w:p>
    <w:p>
      <w:pPr>
        <w:spacing w:after="0" w:line="181"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20"/>
          <w:szCs w:val="20"/>
          <w:color w:val="auto"/>
        </w:rPr>
        <w:t>Interest income increased $7.2 million, or 196%, to $10.9 million for fiscal 2025 as compared to fiscal 2024 primarily due to higher average cash and cash equivalent balances during the current year period as compared with the prior year period. Interest income attributable to Consolidated Funds was $4.8 million in the current year period as compared to $1.6 million in the prior year period.</w:t>
      </w:r>
    </w:p>
    <w:p>
      <w:pPr>
        <w:spacing w:after="0" w:line="18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Interest expense increased $3.4 million, or 36%, to $12.7 million for fiscal 2025 as compared to fiscal 2024. The increase was due to higher average outstanding balances during the current year period as compared with the prior year period, partially offset by the lower interest rate on the Notes for a portion of the current year period.</w:t>
      </w:r>
    </w:p>
    <w:p>
      <w:pPr>
        <w:spacing w:after="0" w:line="16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Other income (loss) decreased $35.1 million to a loss of $32.7 million for fiscal 2025 as compared to fiscal 2024, primarily reflecting a loss associated with payment made in connection with a secondary transaction executed by one of our private wealth funds of $32.5 million in the current year period and a gain of $5.3 million in the prior year period for amounts received as part of negotiations with a third party related to certain corporate matters, partially offset by a loss of $0.8 million associated with the sale of a subsidiary in the prior year period and net foreign currency transaction gains in the current year period as compared with net foreign currency transaction losses in the prior year period.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20" w:lineRule="exact"/>
        <w:rPr>
          <w:sz w:val="20"/>
          <w:szCs w:val="20"/>
          <w:color w:val="auto"/>
        </w:rPr>
      </w:pPr>
    </w:p>
    <w:p>
      <w:pPr>
        <w:ind w:right="400" w:firstLine="648"/>
        <w:spacing w:after="0" w:line="283" w:lineRule="auto"/>
        <w:rPr>
          <w:sz w:val="20"/>
          <w:szCs w:val="20"/>
          <w:color w:val="auto"/>
        </w:rPr>
      </w:pPr>
      <w:r>
        <w:rPr>
          <w:rFonts w:ascii="Times New Roman" w:cs="Times New Roman" w:eastAsia="Times New Roman" w:hAnsi="Times New Roman"/>
          <w:sz w:val="20"/>
          <w:szCs w:val="20"/>
          <w:color w:val="auto"/>
        </w:rPr>
        <w:t>Investment income (loss) increased $10.0 million to income of $7.5 million for fiscal 2024 as compared to fiscal 2023, primarily reflecting overall changes in the valuations of the underlying investments in the StepStone Funds.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20"/>
          <w:szCs w:val="20"/>
          <w:color w:val="auto"/>
        </w:rPr>
        <w:t>Legacy Greenspring investment loss increased $35.0 million, or 79%, to $9.1 million for fiscal 2024 as compared to fiscal 2023. Fiscal 2024 reflects gross realized investment income of $5.3 million and unrealized investment loss, net of the reversal of realized investment income, of $14.4 million. Fiscal 2023 reflects gross realized investment income of $6.6 million and unrealized investment loss, net of the reversal of realized investment income, of $50.6 million.</w:t>
      </w:r>
    </w:p>
    <w:p>
      <w:pPr>
        <w:spacing w:after="0" w:line="187"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of Consolidated Funds increased $19.2 million, or 206%, to $28.5 million for fiscal 2024 as compared to fiscal 2023, primarily reflecting overall changes in the valuations of the underlying investments of the Consolidated Funds on higher investment balances during the current year period as compared with the prior year period.</w:t>
      </w:r>
    </w:p>
    <w:p>
      <w:pPr>
        <w:spacing w:after="0" w:line="1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Interest income increased $1.7 million, or 91%, to $3.7 million for fiscal 2024 as compared to fiscal 2023, primarily due to higher average interest rates earned on cash and cash equivalent balances. Interest income attributable to Consolidated Funds was $1.6 million in the current year period as compared to $0.2 million in the prior year period.</w:t>
      </w:r>
    </w:p>
    <w:p>
      <w:pPr>
        <w:spacing w:after="0" w:line="1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Interest expense increased $5.1 million, or 123%, to $9.3 million for fiscal 2024 as compared to fiscal 2023. The increase was due to higher average interest rates and higher average outstanding balances under the Revolver during the current year period, as compared with the prior year period.</w:t>
      </w:r>
    </w:p>
    <w:p>
      <w:pPr>
        <w:spacing w:after="0" w:line="168"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0"/>
          <w:szCs w:val="20"/>
          <w:color w:val="auto"/>
        </w:rPr>
        <w:t>Other income (loss) increased $3.9 million to income of $2.5 million for fiscal 2024 as compared to fiscal 2023, primarily reflecting a gain of $5.3 million in the current year period for amounts received as part of negotiations with a third party related to certain corporate matters, partially offset by a loss of $0.8 million associated with the sale of a subsidiary.</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right="880" w:firstLine="648"/>
        <w:spacing w:after="0" w:line="269" w:lineRule="auto"/>
        <w:rPr>
          <w:sz w:val="20"/>
          <w:szCs w:val="20"/>
          <w:color w:val="auto"/>
        </w:rPr>
      </w:pPr>
      <w:r>
        <w:rPr>
          <w:rFonts w:ascii="Times New Roman" w:cs="Times New Roman" w:eastAsia="Times New Roman" w:hAnsi="Times New Roman"/>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7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Our effective income tax rate was 22.2%, 14.1%, and (9.2)% for fiscal 2025, 2024 and 2023, respectively. Our overall effective tax rate in fiscal 2025 differs from the statutory rate primarily because of the impact of nondeductible items. Our overall effective tax rates in fiscal 2024 and 2023 are less than the statutory rate primarily because a portion of income was allocated to non-controlling interests and the tax liability on such income is borne by the holders of such non-controlling interests.</w:t>
      </w:r>
    </w:p>
    <w:p>
      <w:pPr>
        <w:spacing w:after="0" w:line="1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Organization for Economic Co-operation and Development (“OECD”) implemented Pillar Two, which establishes a global minimum corporate tax rate of 15% on large multinational enterprises across their worldwide operations. While legislation pertaining to these rules is already in effect or advancing in several of the jurisdictions where we operate, ongoing uncertainty surrounds the adoption of the minimum tax directive by the U.S. Although we were subject to Pillar Two for the fiscal year ended March 31, 2025, there was no material impact to our tax provision. We will continue to evaluate both U.S. and global legislative developments concerning Pillar Two for future reporting periods.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20"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Income tax expense decreased $76.8 million to a benefit of $49.2 million for fiscal 2025 as compared to expense for fiscal 2024. The decrease in tax expense was primarily driven by pre-tax net loss for fiscal 2025 compared to pre-tax net income for fiscal 2024.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20" w:lineRule="exact"/>
        <w:rPr>
          <w:sz w:val="20"/>
          <w:szCs w:val="20"/>
          <w:color w:val="auto"/>
        </w:rPr>
      </w:pPr>
    </w:p>
    <w:p>
      <w:pPr>
        <w:ind w:right="260" w:firstLine="648"/>
        <w:spacing w:after="0" w:line="283" w:lineRule="auto"/>
        <w:rPr>
          <w:sz w:val="20"/>
          <w:szCs w:val="20"/>
          <w:color w:val="auto"/>
        </w:rPr>
      </w:pPr>
      <w:r>
        <w:rPr>
          <w:rFonts w:ascii="Times New Roman" w:cs="Times New Roman" w:eastAsia="Times New Roman" w:hAnsi="Times New Roman"/>
          <w:sz w:val="20"/>
          <w:szCs w:val="20"/>
          <w:color w:val="auto"/>
        </w:rPr>
        <w:t>Income tax expense increased $23.8 million, or 622%, to $27.6 million for fiscal 2024 as compared to fiscal 2023. The increase in tax expense was primarily driven by pre-tax net income for fiscal 2024 compared to pre-tax net loss for fiscal 2023.</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Interests in Subsidiaries</w:t>
      </w:r>
    </w:p>
    <w:p>
      <w:pPr>
        <w:spacing w:after="0" w:line="233"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9"/>
          <w:szCs w:val="19"/>
          <w:color w:val="auto"/>
        </w:rPr>
        <w:t>Net income attributable to non-controlling interests in subsidiaries increased $42.0 million, or 113%, to $79.3 million for fiscal 2025 as compared to fiscal 2024. The increase was primarily attributable to an increase in income generated by our consolidated subsidiaries not wholly-owned by us and an increase in our economic interests in the Asset Class Entities as a result of the Transaction Agreements.</w:t>
      </w:r>
    </w:p>
    <w:p>
      <w:pPr>
        <w:spacing w:after="0" w:line="16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$2.0 million, or 6%, to $37.2 million for fiscal 2024 as compared to fiscal 2023. The increase was primarily attributable to an increase in income generated by our consolidated subsidiaries not wholly-owned by us.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Loss Attributable to Non-Controlling Interests in Legacy Greenspring Entities</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loss attributable to non-controlling interests in legacy Greenspring entities was $1.2 million, $9.1 million, and $44.1 million for fiscal 2025, 2024 and 2023, respectively.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the Partnership</w:t>
      </w:r>
    </w:p>
    <w:p>
      <w:pPr>
        <w:spacing w:after="0" w:line="233"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9"/>
          <w:szCs w:val="19"/>
          <w:color w:val="auto"/>
        </w:rPr>
        <w:t>Net income (loss) attributable to non-controlling interests in the Partnership represents the portion of net income or loss attributable to the interests held by the Class B, Class C and Class D unitholders of the Partnership. Net income (loss) attributable to non-controlling interests in the Partnership was $(125.9) million, $60.0 million and $(19.8) million for fiscal 2025, 2024 and 2023, respectively.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Consolidated Funds</w:t>
      </w:r>
    </w:p>
    <w:p>
      <w:pPr>
        <w:spacing w:after="0" w:line="22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Consolidated Funds represents income of the Consolidated Funds attributable to third-party investors. Net income attributable to redeemable non-controlling interests in Consolidated Funds was $53.7 million, $15.8 million and $1.8 million for fiscal 2025, 2024 and 2023,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Subsidiaries</w:t>
      </w:r>
    </w:p>
    <w:p>
      <w:pPr>
        <w:spacing w:after="0" w:line="233"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subsidiaries was $0.8 million and $5.8 million for fiscal 2025 and 2024, respectively. There were no redeemable non-controlling interests in subsidiaries prior to fiscal 2024.</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Operating Metrics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AUM was $138 billion as of March 31, 2023, $157 billion as of March 31, 2024 and $189 billion as of March 31, 2025.</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20"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Assets related to our advisory accounts were $482 billion as of March 31, 2023, $521 billion as of March 31, 2024 and $520 billion as of March 31, 2025.</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FEAUM increased $27.5 billion, or 29%, to $121.4 billion as of March 31, 2025 as compared to $93.9 billion as of March 31, 2024.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increase, $14.3 billion was from SMAs and $13.3 billion was from focused commingled funds.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w:t>
      </w:r>
    </w:p>
    <w:p>
      <w:pPr>
        <w:spacing w:after="0" w:line="220"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FEAUM increased $8.4 billion, or 10%, to $93.9 billion as of March 31, 2024 as compared to $85.4 billion as of March 31, 2023. Of the increase, $3.6 billion was from SMAs and $4.9 billion was from focused commingled funds.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693"/>
              <w:spacing w:after="0"/>
              <w:rPr>
                <w:sz w:val="20"/>
                <w:szCs w:val="20"/>
                <w:color w:val="auto"/>
              </w:rPr>
            </w:pPr>
            <w:r>
              <w:rPr>
                <w:rFonts w:ascii="Times New Roman" w:cs="Times New Roman" w:eastAsia="Times New Roman" w:hAnsi="Times New Roman"/>
                <w:sz w:val="16"/>
                <w:szCs w:val="16"/>
                <w:b w:val="1"/>
                <w:bCs w:val="1"/>
                <w:color w:val="auto"/>
                <w:w w:val="99"/>
              </w:rPr>
              <w:t>Year Ended March 31, 2025</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SMAs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Focused</w:t>
            </w:r>
          </w:p>
        </w:tc>
        <w:tc>
          <w:tcPr>
            <w:tcW w:w="340" w:type="dxa"/>
            <w:vAlign w:val="bottom"/>
          </w:tcPr>
          <w:p>
            <w:pPr>
              <w:spacing w:after="0"/>
              <w:rPr>
                <w:sz w:val="13"/>
                <w:szCs w:val="13"/>
                <w:color w:val="auto"/>
              </w:rPr>
            </w:pPr>
          </w:p>
        </w:tc>
        <w:tc>
          <w:tcPr>
            <w:tcW w:w="11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Commingled Funds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693"/>
              <w:spacing w:after="0"/>
              <w:rPr>
                <w:sz w:val="20"/>
                <w:szCs w:val="20"/>
                <w:color w:val="auto"/>
              </w:rPr>
            </w:pPr>
            <w:r>
              <w:rPr>
                <w:rFonts w:ascii="Times New Roman" w:cs="Times New Roman" w:eastAsia="Times New Roman" w:hAnsi="Times New Roman"/>
                <w:sz w:val="16"/>
                <w:szCs w:val="16"/>
                <w:b w:val="1"/>
                <w:bCs w:val="1"/>
                <w:color w:val="auto"/>
                <w:w w:val="99"/>
              </w:rPr>
              <w:t>Year Ended March 31, 2024</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SMAs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Focused</w:t>
            </w:r>
          </w:p>
        </w:tc>
        <w:tc>
          <w:tcPr>
            <w:tcW w:w="340" w:type="dxa"/>
            <w:vAlign w:val="bottom"/>
          </w:tcPr>
          <w:p>
            <w:pPr>
              <w:spacing w:after="0"/>
              <w:rPr>
                <w:sz w:val="13"/>
                <w:szCs w:val="13"/>
                <w:color w:val="auto"/>
              </w:rPr>
            </w:pPr>
          </w:p>
        </w:tc>
        <w:tc>
          <w:tcPr>
            <w:tcW w:w="11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Commingled Funds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85,431</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300" w:hanging="652"/>
        <w:spacing w:after="0" w:line="25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65" w:lineRule="auto"/>
        <w:tabs>
          <w:tab w:leader="none" w:pos="65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jc w:val="both"/>
        <w:ind w:left="660" w:right="200" w:hanging="652"/>
        <w:spacing w:after="0" w:line="255"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 of changes in market value appreciation (depreciation) for funds that pay on NAV and the effect of foreign exchange rate changes on non-U.S. dollar denominated commitments. The year ended March 31, 2025 includes a $0.6 billion secondary transaction within focused commingled funds.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tables set forth FEAUM by asset class and selected weighted-average management fee rate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FEAUM</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45,766</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debt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r>
      <w:tr>
        <w:trPr>
          <w:trHeight w:val="223"/>
        </w:trPr>
        <w:tc>
          <w:tcPr>
            <w:tcW w:w="6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85,431</w:t>
            </w:r>
          </w:p>
        </w:tc>
      </w:tr>
      <w:tr>
        <w:trPr>
          <w:trHeight w:val="21"/>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6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Weighted-average fee rate</w:t>
            </w:r>
            <w:r>
              <w:rPr>
                <w:rFonts w:ascii="Times New Roman" w:cs="Times New Roman" w:eastAsia="Times New Roman" w:hAnsi="Times New Roman"/>
                <w:sz w:val="23"/>
                <w:szCs w:val="23"/>
                <w:b w:val="1"/>
                <w:bCs w:val="1"/>
                <w:color w:val="auto"/>
                <w:vertAlign w:val="superscript"/>
              </w:rPr>
              <w:t>(1)</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23"/>
                <w:szCs w:val="23"/>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w:t>
            </w:r>
          </w:p>
        </w:tc>
      </w:tr>
      <w:tr>
        <w:trPr>
          <w:trHeight w:val="229"/>
        </w:trPr>
        <w:tc>
          <w:tcPr>
            <w:tcW w:w="8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infrastructure and private debt asset classes</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r>
      <w:tr>
        <w:trPr>
          <w:trHeight w:val="223"/>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0.65 %</w:t>
            </w:r>
          </w:p>
        </w:tc>
        <w:tc>
          <w:tcPr>
            <w:tcW w:w="8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0.59 %</w:t>
            </w:r>
          </w:p>
        </w:tc>
      </w:tr>
      <w:tr>
        <w:trPr>
          <w:trHeight w:val="21"/>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80" w:hanging="652"/>
        <w:spacing w:after="0" w:line="250" w:lineRule="auto"/>
        <w:tabs>
          <w:tab w:leader="none" w:pos="6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fee rates reflect the applicable management fees for the last 12 months ending on each period presented, and is inclusive of any retroactive fees for such period.</w:t>
      </w:r>
    </w:p>
    <w:p>
      <w:pPr>
        <w:ind w:left="660" w:hanging="652"/>
        <w:spacing w:after="0" w:line="250" w:lineRule="auto"/>
        <w:tabs>
          <w:tab w:leader="none" w:pos="6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shifts in mix between SMAs and focused commingled funds and growth in our private wealth funds which earn higher fee rates.</w:t>
      </w:r>
    </w:p>
    <w:p>
      <w:pPr>
        <w:ind w:left="660" w:hanging="652"/>
        <w:spacing w:after="0" w:line="260" w:lineRule="auto"/>
        <w:tabs>
          <w:tab w:leader="none" w:pos="6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shifts in mix between SMAs and focused commingled funds and growth in our private wealth funds which earn higher fee rates.</w:t>
      </w:r>
    </w:p>
    <w:p>
      <w:pPr>
        <w:spacing w:after="0" w:line="17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Undeployed Fee-Earning Capital</w:t>
      </w:r>
    </w:p>
    <w:p>
      <w:pPr>
        <w:spacing w:after="0" w:line="220" w:lineRule="exact"/>
        <w:rPr>
          <w:sz w:val="20"/>
          <w:szCs w:val="20"/>
          <w:color w:val="auto"/>
        </w:rPr>
      </w:pPr>
    </w:p>
    <w:p>
      <w:pPr>
        <w:ind w:right="300" w:firstLine="648"/>
        <w:spacing w:after="0" w:line="269" w:lineRule="auto"/>
        <w:rPr>
          <w:sz w:val="20"/>
          <w:szCs w:val="20"/>
          <w:color w:val="auto"/>
        </w:rPr>
      </w:pPr>
      <w:r>
        <w:rPr>
          <w:rFonts w:ascii="Times New Roman" w:cs="Times New Roman" w:eastAsia="Times New Roman" w:hAnsi="Times New Roman"/>
          <w:sz w:val="20"/>
          <w:szCs w:val="20"/>
          <w:color w:val="auto"/>
        </w:rPr>
        <w:t>As of March 31, 2025, we had $24.6 billion of undeployed fee-earning capital, which will generate management fee revenue once invested or activated.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Net Income</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fee revenues, adjusted incentive fees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the private wealth subsidiary, (d) amortization of intangibles, (e) net income (loss) attributable to non-controlling interests in our subsidiaries and realized gains attributable to the profits interests issued in the private wealth subsidiary, (f) charges associated with acquisitions and corporate transactions, and (g) certain other items that we believe are not indicative of our core operating performance (as listed in the below table). ANI is fully taxed at our blended statutory rate. We believe ANI and adjusted revenues are useful to investors because they enable investors to evaluate the performance of our business across reporting periods.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w:t>
      </w:r>
    </w:p>
    <w:p>
      <w:pPr>
        <w:spacing w:after="0" w:line="23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represents the components of revenues used in the determination of ANI and comprise fee revenues, adjusted incentive fees and realized carried interest allocations. We believe adjusted revenues is useful to investors because it presents a measure of realized revenues.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Fee-related earnings (“FRE”) is a non-GAAP performance measure used to monitor our baseline earnings from recurring management and advisory fees. FRE is a component of ANI and comprises fee revenues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the private wealth subsidiary, (c) amortization of intangibles, (d) charges associated with acquisitions and corporate transactions, and (e) certain other items that we believe are not indicative of our core operating performance (as listed in the below table).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 Revenues</w:t>
      </w:r>
    </w:p>
    <w:p>
      <w:pPr>
        <w:spacing w:after="0" w:line="22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Fee revenues represents management and advisory fees, net, including amounts earned from the Consolidated Funds which are eliminated in consolidation. We believe fee revenues is useful to investors because it presents the net amount of management and advisory fee revenues attributable to us.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ANI per share measures our per-share earnings assuming all Class B units, Class C units and Class D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3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FRE increased $122.4 million, or 64%, to $312.2 million for fiscal 2025 as compared to fiscal 2024, primarily reflecting higher fee revenues, partially offset by higher adjusted cash-based compensation, adjusted general, administrative and other expenses and adjusted equity-based compensation.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2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FRE increased $33.6 million, or 22%, to $189.8 million for fiscal 2024 as compared to fiscal 2023, primarily reflecting higher fee revenues, partially offset by higher adjusted cash-based compensation, adjusted general, administrative and other expenses and adjusted equity-based compensation.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 and Adjusted Net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20" w:lineRule="exact"/>
        <w:rPr>
          <w:sz w:val="20"/>
          <w:szCs w:val="20"/>
          <w:color w:val="auto"/>
        </w:rPr>
      </w:pPr>
    </w:p>
    <w:p>
      <w:pPr>
        <w:ind w:right="720" w:firstLine="648"/>
        <w:spacing w:after="0" w:line="283" w:lineRule="auto"/>
        <w:rPr>
          <w:sz w:val="20"/>
          <w:szCs w:val="20"/>
          <w:color w:val="auto"/>
        </w:rPr>
      </w:pPr>
      <w:r>
        <w:rPr>
          <w:rFonts w:ascii="Times New Roman" w:cs="Times New Roman" w:eastAsia="Times New Roman" w:hAnsi="Times New Roman"/>
          <w:sz w:val="20"/>
          <w:szCs w:val="20"/>
          <w:color w:val="auto"/>
        </w:rPr>
        <w:t>Adjusted revenues increased $304.7 million, or 46%, to $969.7 million for fiscal 2025 as compared to fiscal 2024, primarily reflecting increases in fee revenues, realized carried interest allocation revenues and adjusted incentive fees.</w:t>
      </w:r>
    </w:p>
    <w:p>
      <w:pPr>
        <w:spacing w:after="0" w:line="14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ANI increased $104.7 million, or 75%, to $244.1 million for fiscal 2025 as compared to fiscal 2024, primarily due to an increase in FRE as discussed above, higher performance fee-related earnings (adjusted incentive fees, plus realized carried interest allocation revenues, less realized performance fee-related compensation), higher interest income and higher realized investment income. The overall increase was partially offset by a higher allocation of income to non-controlling interests and higher interest expense.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20"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Adjusted revenues increased $23.1 million, or 4%, to $665.1 million for fiscal 2024 as compared to fiscal 2023, primarily reflecting increases in fee revenues and adjusted incentive fees, partially offset by lower realized carried interest allocation revenues.</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ANI decreased $3.3 million, or 2%, to $139.4 million for fiscal 2024 as compared to fiscal 2023, primarily due to lower performance fee-related earnings, a higher allocation of income to non-controlling interests and higher interest expense. The decrease was partially offset by the increase in FRE.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auto"/>
        </w:rPr>
        <w:t>The following table shows a reconciliation of diluted weighted-average shares of Class A common stock outstanding to adjusted weighted-average shares outstanding used in the computation of ANI per share for fiscal 2025, 2024 and 2023.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244,072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139,393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142,663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Weighted-average shares of Class A common stock outstanding – Basic</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71,142,916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63,489,135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61,884,671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669,966</w:t>
            </w:r>
          </w:p>
        </w:tc>
        <w:tc>
          <w:tcPr>
            <w:tcW w:w="0" w:type="dxa"/>
            <w:vAlign w:val="bottom"/>
          </w:tcPr>
          <w:p>
            <w:pPr>
              <w:spacing w:after="0"/>
              <w:rPr>
                <w:sz w:val="1"/>
                <w:szCs w:val="1"/>
                <w:color w:val="auto"/>
              </w:rPr>
            </w:pPr>
          </w:p>
        </w:tc>
      </w:tr>
      <w:tr>
        <w:trPr>
          <w:trHeight w:val="229"/>
        </w:trPr>
        <w:tc>
          <w:tcPr>
            <w:tcW w:w="5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vesting and exchange of Class B2 units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2,542,751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2,475,501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purchase under ESPP</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B units in the Partnership</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43,233,005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46,356,244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46,780,724</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C units in the Partnership</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2,234,191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2,807,243</w:t>
            </w:r>
          </w:p>
        </w:tc>
        <w:tc>
          <w:tcPr>
            <w:tcW w:w="0" w:type="dxa"/>
            <w:vAlign w:val="bottom"/>
          </w:tcPr>
          <w:p>
            <w:pPr>
              <w:spacing w:after="0"/>
              <w:rPr>
                <w:sz w:val="1"/>
                <w:szCs w:val="1"/>
                <w:color w:val="auto"/>
              </w:rPr>
            </w:pPr>
          </w:p>
        </w:tc>
      </w:tr>
      <w:tr>
        <w:trPr>
          <w:trHeight w:val="230"/>
        </w:trPr>
        <w:tc>
          <w:tcPr>
            <w:tcW w:w="57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D units in the Partnership</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2,007,849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118,772,442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115,134,473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114,618,105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 per share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78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right="260" w:hanging="652"/>
        <w:spacing w:after="0" w:line="260"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B units, Class C units or Class D units in the Partnership for Class A common stock of SSG pursuant to the Class B Exchange Agreement, Class C Exchange Agreement or Class D Exchange Agreement, respectively.</w:t>
      </w:r>
    </w:p>
    <w:p>
      <w:pPr>
        <w:spacing w:after="0" w:line="17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Reconciliation of GAAP to Non-GAAP Financial Measures</w:t>
      </w:r>
    </w:p>
    <w:p>
      <w:pPr>
        <w:spacing w:after="0" w:line="23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table below shows a reconciliation of revenues to adjusted revenues.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960" w:type="dxa"/>
            <w:vAlign w:val="bottom"/>
            <w:tcBorders>
              <w:bottom w:val="single" w:sz="8" w:color="auto"/>
            </w:tcBorders>
          </w:tcPr>
          <w:p>
            <w:pPr>
              <w:spacing w:after="0"/>
              <w:rPr>
                <w:sz w:val="18"/>
                <w:szCs w:val="18"/>
                <w:color w:val="auto"/>
              </w:rPr>
            </w:pPr>
          </w:p>
        </w:tc>
      </w:tr>
      <w:tr>
        <w:trPr>
          <w:trHeight w:val="214"/>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(67,574)</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253,342</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452,163</w:t>
            </w:r>
          </w:p>
        </w:tc>
      </w:tr>
      <w:tr>
        <w:trPr>
          <w:trHeight w:val="230"/>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Management and advisory fee revenues for the Consolidated Funds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73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Incentive fees for the Consolidated Funds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641,970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incentive fee revenues for the Consolidated Funds, which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960" w:type="dxa"/>
            <w:vAlign w:val="bottom"/>
            <w:tcBorders>
              <w:bottom w:val="single" w:sz="8" w:color="auto"/>
            </w:tcBorders>
          </w:tcPr>
          <w:p>
            <w:pPr>
              <w:spacing w:after="0"/>
              <w:rPr>
                <w:sz w:val="18"/>
                <w:szCs w:val="18"/>
                <w:color w:val="auto"/>
              </w:rPr>
            </w:pPr>
          </w:p>
        </w:tc>
      </w:tr>
      <w:tr>
        <w:trPr>
          <w:trHeight w:val="214"/>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management and advisory fees,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497,179</w:t>
            </w:r>
          </w:p>
        </w:tc>
      </w:tr>
      <w:tr>
        <w:trPr>
          <w:trHeight w:val="229"/>
        </w:trPr>
        <w:tc>
          <w:tcPr>
            <w:tcW w:w="7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Management and advisory fee revenues for the Consolidated Funds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497,326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incentive fees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w:t>
            </w:r>
          </w:p>
        </w:tc>
      </w:tr>
      <w:tr>
        <w:trPr>
          <w:trHeight w:val="229"/>
        </w:trPr>
        <w:tc>
          <w:tcPr>
            <w:tcW w:w="7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incentive fees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interest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30"/>
        </w:trPr>
        <w:tc>
          <w:tcPr>
            <w:tcW w:w="7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Interest income earned by the Consolidated Funds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interest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other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30"/>
        </w:trPr>
        <w:tc>
          <w:tcPr>
            <w:tcW w:w="7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other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incentive fee revenues for the Consolidated Funds, which have been eliminated in consolidation, and deferred incentive fees that are not included in GAAP revenues.</w:t>
      </w:r>
    </w:p>
    <w:p>
      <w:pPr>
        <w:ind w:left="640" w:hanging="632"/>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60" w:right="100" w:hanging="652"/>
        <w:spacing w:after="0" w:line="253"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amounts for Tax Receivable Agreements adjustments recognized as other income (loss), gain associated with amounts received as part of negotiations with a third party related to certain corporate matters, loss on sale of subsidiary, loss associated with payment made in connection with a secondary transaction executed by one of our private wealth funds and the impact of consolidation of the Consolidated Funds.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income (loss) before income tax to ANI and FRE.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960" w:type="dxa"/>
            <w:vAlign w:val="bottom"/>
            <w:tcBorders>
              <w:bottom w:val="single" w:sz="8" w:color="auto"/>
            </w:tcBorders>
          </w:tcPr>
          <w:p>
            <w:pPr>
              <w:spacing w:after="0"/>
              <w:rPr>
                <w:sz w:val="18"/>
                <w:szCs w:val="18"/>
                <w:color w:val="auto"/>
              </w:rPr>
            </w:pPr>
          </w:p>
        </w:tc>
      </w:tr>
      <w:tr>
        <w:trPr>
          <w:trHeight w:val="214"/>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(41,454)</w:t>
            </w:r>
          </w:p>
        </w:tc>
      </w:tr>
      <w:tr>
        <w:trPr>
          <w:trHeight w:val="230"/>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Net income attributable to non-controlling interests in subsidiaries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(39,054)</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interests in legacy Greenspring entities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44,075</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253,342</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performance fee-related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(119,039)</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investment (income)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Impact of Consolidated Funds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r>
      <w:tr>
        <w:trPr>
          <w:trHeight w:val="229"/>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21,914</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43,481</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Receivable Agreements adjustments through earnings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73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17,580</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ANI</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183,608</w:t>
            </w:r>
          </w:p>
        </w:tc>
      </w:tr>
      <w:tr>
        <w:trPr>
          <w:trHeight w:val="229"/>
        </w:trPr>
        <w:tc>
          <w:tcPr>
            <w:tcW w:w="73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(40,945)</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142,663</w:t>
            </w:r>
          </w:p>
        </w:tc>
      </w:tr>
      <w:tr>
        <w:trPr>
          <w:trHeight w:val="229"/>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40,945</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(131,089)</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performance fee-related compensation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79,846</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r>
      <w:tr>
        <w:trPr>
          <w:trHeight w:val="230"/>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Adjusted incentive fees</w:t>
            </w:r>
            <w:r>
              <w:rPr>
                <w:rFonts w:ascii="Times New Roman" w:cs="Times New Roman" w:eastAsia="Times New Roman" w:hAnsi="Times New Roman"/>
                <w:sz w:val="23"/>
                <w:szCs w:val="23"/>
                <w:color w:val="auto"/>
                <w:vertAlign w:val="superscript"/>
              </w:rPr>
              <w:t>(5)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w:t>
            </w:r>
          </w:p>
        </w:tc>
      </w:tr>
      <w:tr>
        <w:trPr>
          <w:trHeight w:val="230"/>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Adjusted interest income</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r>
      <w:tr>
        <w:trPr>
          <w:trHeight w:val="230"/>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Adjusted other (income) loss</w:t>
            </w:r>
            <w:r>
              <w:rPr>
                <w:rFonts w:ascii="Times New Roman" w:cs="Times New Roman" w:eastAsia="Times New Roman" w:hAnsi="Times New Roman"/>
                <w:sz w:val="23"/>
                <w:szCs w:val="23"/>
                <w:color w:val="auto"/>
                <w:vertAlign w:val="superscript"/>
              </w:rPr>
              <w:t>(5)(6)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30"/>
        </w:trPr>
        <w:tc>
          <w:tcPr>
            <w:tcW w:w="73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Net income attributable to non-controlling interests in subsidiaries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39,054</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20" w:hanging="652"/>
        <w:spacing w:after="0" w:line="250"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pre-tax ANI attributable to non-controlling interests in our subsidiaries and realized gains attributable to the profits interests issued in the private wealth subsidiary. Amounts attributable to the profits interests issued in the private wealth subsidiary were $23.2 million in fiscal 2025, $3.1 million in fiscal 2024 and $0.0 million in fiscal 2023. Amounts specifically attributable to non-controlling interests in subsidiaries not attributable to the private wealth subsidiary were $79.7 million in fiscal 2025, $46.1 million in fiscal 2024 and $39.1 million for fiscal 2023.</w:t>
      </w:r>
    </w:p>
    <w:p>
      <w:pPr>
        <w:spacing w:after="0" w:line="1" w:lineRule="exact"/>
        <w:rPr>
          <w:rFonts w:ascii="Times New Roman" w:cs="Times New Roman" w:eastAsia="Times New Roman" w:hAnsi="Times New Roman"/>
          <w:sz w:val="18"/>
          <w:szCs w:val="18"/>
          <w:color w:val="auto"/>
        </w:rPr>
      </w:pPr>
    </w:p>
    <w:p>
      <w:pPr>
        <w:ind w:left="660" w:right="120" w:hanging="652"/>
        <w:spacing w:after="0" w:line="260"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652"/>
        <w:spacing w:after="0" w:line="252"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expense related to transaction costs ($1.0 million in fiscal 2025, $4.9 million in fiscal 2024, and $6.9 million in fiscal 2023), lease remeasurement adjustments ($(0.1) million in fiscal 2024 and $(2.7) million in fiscal 2023), accelerated depreciation of leasehold improvements for changes in lease terms ($1.9 million in fiscal 2024 and $1.5 million in fiscal 2023), severance costs ($0.3 million in fiscal 2023), loss on change in fair value for contingent consideration obligation ($16.1 million in fiscal 2025, $17.2 million in fiscal 2024, and $9.4 million in fiscal 2023), compensation paid to certain employees as part of an acquisition earn-out ($0.4 million in fiscal 2025, $2.2 million in fiscal 2024, and $2.3 million in fiscal 2023), loss associated with payment made in connection with a secondary transaction executed by one of our private wealth funds ($32.5 million in fiscal 2025), gain associated with amounts received as part of negotiations with a third party related to certain corporate matters ($5.3 million in fiscal 2024), loss on sale of subsidiary ($0.8 million in fiscal 2024) and other non-core operating income and expenses.</w:t>
      </w:r>
    </w:p>
    <w:p>
      <w:pPr>
        <w:spacing w:after="0" w:line="6" w:lineRule="exact"/>
        <w:rPr>
          <w:rFonts w:ascii="Times New Roman" w:cs="Times New Roman" w:eastAsia="Times New Roman" w:hAnsi="Times New Roman"/>
          <w:sz w:val="18"/>
          <w:szCs w:val="18"/>
          <w:color w:val="auto"/>
        </w:rPr>
      </w:pPr>
    </w:p>
    <w:p>
      <w:pPr>
        <w:ind w:left="660" w:right="260" w:hanging="652"/>
        <w:spacing w:after="0" w:line="250"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corporate income taxes at a blended statutory rate of 22.3% applied to pre-tax ANI for fiscal 2025, fiscal 2024, and fiscal 2023. The 22.3% rate is based on a federal statutory rate of 21.0% and a combined state, local and foreign rate net of federal benefits of 1.3%.</w:t>
      </w:r>
    </w:p>
    <w:p>
      <w:pPr>
        <w:ind w:left="640" w:hanging="632"/>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consolidating the Consolidated Funds and includes deferred incentive fees which are not included in GAAP revenues.</w:t>
      </w:r>
    </w:p>
    <w:p>
      <w:pPr>
        <w:spacing w:after="0" w:line="9" w:lineRule="exact"/>
        <w:rPr>
          <w:rFonts w:ascii="Times New Roman" w:cs="Times New Roman" w:eastAsia="Times New Roman" w:hAnsi="Times New Roman"/>
          <w:sz w:val="18"/>
          <w:szCs w:val="18"/>
          <w:color w:val="auto"/>
        </w:rPr>
      </w:pPr>
    </w:p>
    <w:p>
      <w:pPr>
        <w:ind w:left="660" w:hanging="652"/>
        <w:spacing w:after="0" w:line="253"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for Tax Receivable Agreements adjustments recognized as other income (loss) ($0.3 million in fiscal 2025, $(0.3) million in fiscal 2024, and $0.2 million in fiscal 2023), loss associated with payment made in connection with a secondary transaction executed by one of our private wealth funds ($32.5 million in fiscal 2025), gain associated with amounts received as part of negotiations with a third party related to certain corporate matters ($5.3 million in fiscal 2024), and loss on sale of subsidiary ($0.8 million in fiscal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Investment Performance</w:t>
      </w:r>
    </w:p>
    <w:p>
      <w:pPr>
        <w:spacing w:after="0" w:line="22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The following tables present information relating to the performance of all the investments that StepStone has recommended and subsequently tracked across asset classes and investment strategies, except as set forth in greater detail below. The data for these investments are generally presented from the inception date of each strategy and asset class through December 31, 2024 and have not been adjusted to reflect acquisitions or disposals of investments subsequent to that date.</w:t>
      </w:r>
    </w:p>
    <w:p>
      <w:pPr>
        <w:spacing w:after="0" w:line="186"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73"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differ from those in the past;</w:t>
      </w:r>
    </w:p>
    <w:p>
      <w:pPr>
        <w:spacing w:after="0" w:line="215" w:lineRule="exact"/>
        <w:rPr>
          <w:rFonts w:ascii="Times New Roman" w:cs="Times New Roman" w:eastAsia="Times New Roman" w:hAnsi="Times New Roman"/>
          <w:sz w:val="20"/>
          <w:szCs w:val="20"/>
          <w:color w:val="auto"/>
        </w:rPr>
      </w:pPr>
    </w:p>
    <w:p>
      <w:pPr>
        <w:ind w:left="660" w:right="200" w:hanging="328"/>
        <w:spacing w:after="0" w:line="283"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(as defined below) of the funds’ investments, including unrealized gains, which may never be realized;</w:t>
      </w:r>
    </w:p>
    <w:p>
      <w:pPr>
        <w:spacing w:after="0" w:line="15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newly-established funds may generate lower investment returns during the period that they initially deploy their capital;</w:t>
      </w:r>
    </w:p>
    <w:p>
      <w:pPr>
        <w:spacing w:after="0" w:line="215"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81" w:lineRule="exact"/>
        <w:rPr>
          <w:rFonts w:ascii="Times New Roman" w:cs="Times New Roman" w:eastAsia="Times New Roman" w:hAnsi="Times New Roman"/>
          <w:sz w:val="20"/>
          <w:szCs w:val="20"/>
          <w:color w:val="auto"/>
        </w:rPr>
      </w:pPr>
    </w:p>
    <w:p>
      <w:pPr>
        <w:ind w:left="660" w:right="340" w:hanging="328"/>
        <w:spacing w:after="0" w:line="310" w:lineRule="auto"/>
        <w:tabs>
          <w:tab w:leader="none" w:pos="64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4"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Historical and future returns of investments included in our track record are not directly correlated to potential returns on our Class A common stock.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the following tables:</w:t>
      </w:r>
    </w:p>
    <w:p>
      <w:pPr>
        <w:spacing w:after="0" w:line="216" w:lineRule="exact"/>
        <w:rPr>
          <w:sz w:val="20"/>
          <w:szCs w:val="20"/>
          <w:color w:val="auto"/>
        </w:rPr>
      </w:pPr>
    </w:p>
    <w:p>
      <w:pPr>
        <w:ind w:left="660" w:right="880" w:hanging="328"/>
        <w:spacing w:after="0" w:line="283"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“Invested capital” refers to the total amount of all investments made by a fund, including commitment-reducing and non-commitment-reducing capital calls;</w:t>
      </w:r>
    </w:p>
    <w:p>
      <w:pPr>
        <w:spacing w:after="0" w:line="146"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 refers to the estimated fair value of unrealized investments plus any net assets or liabilities associated with the investment as of December 31, 2024;</w:t>
      </w:r>
    </w:p>
    <w:p>
      <w:pPr>
        <w:spacing w:after="0" w:line="159" w:lineRule="exact"/>
        <w:rPr>
          <w:rFonts w:ascii="Times New Roman" w:cs="Times New Roman" w:eastAsia="Times New Roman" w:hAnsi="Times New Roman"/>
          <w:sz w:val="20"/>
          <w:szCs w:val="20"/>
          <w:color w:val="auto"/>
        </w:rPr>
      </w:pPr>
    </w:p>
    <w:p>
      <w:pPr>
        <w:ind w:left="660" w:right="100" w:hanging="328"/>
        <w:spacing w:after="0" w:line="254" w:lineRule="auto"/>
        <w:tabs>
          <w:tab w:leader="none" w:pos="648"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Multiple of Invested Capital” refers to (a) the sum of Realized Distributions from underlying investments to the fund plus the fund’s NAV, divided by (b) Cumulative Invested Capital. Multiple of Invested Capital is presented net of management fees, carried interest and expenses charged by underlying fund managers, as well as StepStone’s management fees, performance fees and expenses;</w:t>
      </w:r>
    </w:p>
    <w:p>
      <w:pPr>
        <w:spacing w:after="0" w:line="187" w:lineRule="exact"/>
        <w:rPr>
          <w:rFonts w:ascii="Times New Roman" w:cs="Times New Roman" w:eastAsia="Times New Roman" w:hAnsi="Times New Roman"/>
          <w:sz w:val="20"/>
          <w:szCs w:val="20"/>
          <w:color w:val="231F20"/>
        </w:rPr>
      </w:pPr>
    </w:p>
    <w:p>
      <w:pPr>
        <w:jc w:val="both"/>
        <w:ind w:left="660" w:right="140" w:hanging="328"/>
        <w:spacing w:after="0" w:line="310" w:lineRule="auto"/>
        <w:tabs>
          <w:tab w:leader="none" w:pos="648"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“IRR” refers to the annualized internal rate of return for all investments within the relevant investment strategy on an inception-to-date basis as of December 31, 2024 (except as noted otherwise below), based on contributions, distributions and unrealized value;</w:t>
      </w:r>
    </w:p>
    <w:p>
      <w:pPr>
        <w:spacing w:after="0" w:line="124" w:lineRule="exact"/>
        <w:rPr>
          <w:rFonts w:ascii="Times New Roman" w:cs="Times New Roman" w:eastAsia="Times New Roman" w:hAnsi="Times New Roman"/>
          <w:sz w:val="19"/>
          <w:szCs w:val="19"/>
          <w:color w:val="auto"/>
        </w:rPr>
      </w:pPr>
    </w:p>
    <w:p>
      <w:pPr>
        <w:ind w:left="660" w:right="180" w:hanging="328"/>
        <w:spacing w:after="0" w:line="283" w:lineRule="auto"/>
        <w:tabs>
          <w:tab w:leader="none" w:pos="648"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“Gross IRR” refers to IRR net of management fees, performance fees and expenses charged by the underlying fund managers, but gross of StepStone’s management fees, performance fees and expenses;</w:t>
      </w:r>
    </w:p>
    <w:p>
      <w:pPr>
        <w:spacing w:after="0" w:line="146"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IRR” refers to IRR net of fees and expenses charged by both the underlying fund managers and StepStone;</w:t>
      </w:r>
    </w:p>
    <w:p>
      <w:pPr>
        <w:spacing w:after="0" w:line="229" w:lineRule="exact"/>
        <w:rPr>
          <w:rFonts w:ascii="Times New Roman" w:cs="Times New Roman" w:eastAsia="Times New Roman" w:hAnsi="Times New Roman"/>
          <w:sz w:val="20"/>
          <w:szCs w:val="20"/>
          <w:color w:val="auto"/>
        </w:rPr>
      </w:pPr>
    </w:p>
    <w:p>
      <w:pPr>
        <w:ind w:left="660" w:right="60" w:hanging="328"/>
        <w:spacing w:after="0" w:line="253" w:lineRule="auto"/>
        <w:tabs>
          <w:tab w:leader="none" w:pos="648"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“MSCI ACWI Direct Alpha” refers to the MSCI All Country World Index, the benchmark index used for comparison below. The MSCI All Country World Index is a free float-adjusted market capitalization-weighted index of nearly 2,840 world stocks that is designed to measure the equity market performance of developed and emerging markets. We believe the MSCI All Country World Index is commonly used by private markets investors to evaluate performance. The Direct Alpha calculation methodology allows private markets investment performance to be evaluated against a public index by compounding capital invested, capital distributed and net asset values to a single point in time in the benchmark’s life, removing fluctuations of the public index and leaving only the non-market return above/below the index; </w:t>
      </w:r>
      <w:r>
        <w:rPr>
          <w:rFonts w:ascii="Times New Roman" w:cs="Times New Roman" w:eastAsia="Times New Roman" w:hAnsi="Times New Roman"/>
          <w:sz w:val="20"/>
          <w:szCs w:val="20"/>
          <w:color w:val="000000"/>
        </w:rPr>
        <w:t>and</w:t>
      </w:r>
    </w:p>
    <w:p>
      <w:pPr>
        <w:spacing w:after="0" w:line="179" w:lineRule="exact"/>
        <w:rPr>
          <w:rFonts w:ascii="Times New Roman" w:cs="Times New Roman" w:eastAsia="Times New Roman" w:hAnsi="Times New Roman"/>
          <w:sz w:val="20"/>
          <w:szCs w:val="20"/>
          <w:color w:val="231F20"/>
        </w:rPr>
      </w:pPr>
    </w:p>
    <w:p>
      <w:pPr>
        <w:ind w:left="660" w:right="200" w:hanging="328"/>
        <w:spacing w:after="0" w:line="283"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StepStone Performance Summary by Investment Strategy</w:t>
      </w:r>
      <w:r>
        <w:rPr>
          <w:rFonts w:ascii="Times New Roman" w:cs="Times New Roman" w:eastAsia="Times New Roman" w:hAnsi="Times New Roman"/>
          <w:sz w:val="25"/>
          <w:szCs w:val="25"/>
          <w:color w:val="231F20"/>
          <w:vertAlign w:val="superscript"/>
        </w:rPr>
        <w:t>(1),(2)</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billions except percentages</w:t>
      </w:r>
    </w:p>
    <w:p>
      <w:pPr>
        <w:ind w:left="20"/>
        <w:spacing w:after="0"/>
        <w:rPr>
          <w:sz w:val="20"/>
          <w:szCs w:val="20"/>
          <w:color w:val="auto"/>
        </w:rPr>
      </w:pPr>
      <w:r>
        <w:rPr>
          <w:rFonts w:ascii="Times New Roman" w:cs="Times New Roman" w:eastAsia="Times New Roman" w:hAnsi="Times New Roman"/>
          <w:sz w:val="16"/>
          <w:szCs w:val="16"/>
          <w:color w:val="auto"/>
        </w:rPr>
        <w:t>and multiples)</w:t>
      </w:r>
    </w:p>
    <w:tbl>
      <w:tblPr>
        <w:tblLayout w:type="fixed"/>
        <w:tblInd w:w="0" w:type="dxa"/>
        <w:tblCellMar>
          <w:top w:w="0" w:type="dxa"/>
          <w:left w:w="0" w:type="dxa"/>
          <w:bottom w:w="0" w:type="dxa"/>
          <w:right w:w="0" w:type="dxa"/>
        </w:tblCellMar>
      </w:tblPr>
      <w:tr>
        <w:trPr>
          <w:trHeight w:val="176"/>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Cumulative</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19"/>
              <w:spacing w:after="0" w:line="177" w:lineRule="exact"/>
              <w:rPr>
                <w:sz w:val="20"/>
                <w:szCs w:val="20"/>
                <w:color w:val="auto"/>
              </w:rPr>
            </w:pPr>
            <w:r>
              <w:rPr>
                <w:rFonts w:ascii="Times New Roman" w:cs="Times New Roman" w:eastAsia="Times New Roman" w:hAnsi="Times New Roman"/>
                <w:sz w:val="16"/>
                <w:szCs w:val="16"/>
                <w:color w:val="auto"/>
              </w:rPr>
              <w:t>Net</w:t>
            </w: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Committed</w:t>
            </w:r>
          </w:p>
        </w:tc>
        <w:tc>
          <w:tcPr>
            <w:tcW w:w="1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Realized</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Multiple of</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Net IRR versus</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Invested</w:t>
            </w: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Invested</w:t>
            </w:r>
          </w:p>
        </w:tc>
        <w:tc>
          <w:tcPr>
            <w:tcW w:w="11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restart"/>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7"/>
              </w:rPr>
              <w:t>Strategy</w:t>
            </w:r>
          </w:p>
        </w:tc>
        <w:tc>
          <w:tcPr>
            <w:tcW w:w="12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w w:val="77"/>
              </w:rPr>
              <w:t>(3)</w:t>
            </w:r>
          </w:p>
        </w:tc>
        <w:tc>
          <w:tcPr>
            <w:tcW w:w="1440" w:type="dxa"/>
            <w:vAlign w:val="bottom"/>
            <w:tcBorders>
              <w:bottom w:val="single" w:sz="8" w:color="CCEEFF"/>
            </w:tcBorders>
            <w:vMerge w:val="restart"/>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restart"/>
            <w:shd w:val="clear" w:color="auto" w:fill="CCEEFF"/>
          </w:tcPr>
          <w:p>
            <w:pPr>
              <w:jc w:val="right"/>
              <w:ind w:right="219"/>
              <w:spacing w:after="0" w:line="175" w:lineRule="exact"/>
              <w:rPr>
                <w:sz w:val="20"/>
                <w:szCs w:val="20"/>
                <w:color w:val="auto"/>
              </w:rPr>
            </w:pPr>
            <w:r>
              <w:rPr>
                <w:rFonts w:ascii="Times New Roman" w:cs="Times New Roman" w:eastAsia="Times New Roman" w:hAnsi="Times New Roman"/>
                <w:sz w:val="16"/>
                <w:szCs w:val="16"/>
                <w:color w:val="auto"/>
              </w:rPr>
              <w:t>Capital</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restart"/>
            <w:shd w:val="clear" w:color="auto" w:fill="CCEEFF"/>
          </w:tcPr>
          <w:p>
            <w:pPr>
              <w:jc w:val="center"/>
              <w:ind w:right="59"/>
              <w:spacing w:after="0" w:line="175" w:lineRule="exact"/>
              <w:rPr>
                <w:sz w:val="20"/>
                <w:szCs w:val="20"/>
                <w:color w:val="auto"/>
              </w:rPr>
            </w:pPr>
            <w:r>
              <w:rPr>
                <w:rFonts w:ascii="Times New Roman" w:cs="Times New Roman" w:eastAsia="Times New Roman" w:hAnsi="Times New Roman"/>
                <w:sz w:val="16"/>
                <w:szCs w:val="16"/>
                <w:color w:val="auto"/>
              </w:rPr>
              <w:t>Capital</w:t>
            </w:r>
          </w:p>
        </w:tc>
        <w:tc>
          <w:tcPr>
            <w:tcW w:w="12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vMerge w:val="restart"/>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Distributions</w:t>
            </w:r>
          </w:p>
        </w:tc>
        <w:tc>
          <w:tcPr>
            <w:tcW w:w="1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restart"/>
            <w:shd w:val="clear" w:color="auto" w:fill="CCEEFF"/>
          </w:tcPr>
          <w:p>
            <w:pPr>
              <w:jc w:val="right"/>
              <w:ind w:right="159"/>
              <w:spacing w:after="0" w:line="175" w:lineRule="exact"/>
              <w:rPr>
                <w:sz w:val="20"/>
                <w:szCs w:val="20"/>
                <w:color w:val="auto"/>
              </w:rPr>
            </w:pPr>
            <w:r>
              <w:rPr>
                <w:rFonts w:ascii="Times New Roman" w:cs="Times New Roman" w:eastAsia="Times New Roman" w:hAnsi="Times New Roman"/>
                <w:sz w:val="16"/>
                <w:szCs w:val="16"/>
                <w:color w:val="auto"/>
              </w:rPr>
              <w:t>NAV</w:t>
            </w:r>
          </w:p>
        </w:tc>
        <w:tc>
          <w:tcPr>
            <w:tcW w:w="1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restart"/>
            <w:shd w:val="clear" w:color="auto" w:fill="CCEEFF"/>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CCEEFF"/>
            </w:tcBorders>
            <w:gridSpan w:val="2"/>
            <w:vMerge w:val="restart"/>
            <w:shd w:val="clear" w:color="auto" w:fill="CCEEFF"/>
          </w:tcPr>
          <w:p>
            <w:pPr>
              <w:jc w:val="right"/>
              <w:ind w:right="79"/>
              <w:spacing w:after="0" w:line="176" w:lineRule="exact"/>
              <w:rPr>
                <w:sz w:val="20"/>
                <w:szCs w:val="20"/>
                <w:color w:val="auto"/>
              </w:rPr>
            </w:pPr>
            <w:r>
              <w:rPr>
                <w:rFonts w:ascii="Times New Roman" w:cs="Times New Roman" w:eastAsia="Times New Roman" w:hAnsi="Times New Roman"/>
                <w:sz w:val="15"/>
                <w:szCs w:val="15"/>
                <w:color w:val="auto"/>
              </w:rPr>
              <w:t>Gross IRR</w:t>
            </w:r>
            <w:r>
              <w:rPr>
                <w:rFonts w:ascii="Times New Roman" w:cs="Times New Roman" w:eastAsia="Times New Roman" w:hAnsi="Times New Roman"/>
                <w:sz w:val="20"/>
                <w:szCs w:val="20"/>
                <w:color w:val="auto"/>
                <w:vertAlign w:val="superscript"/>
              </w:rPr>
              <w:t>(4)</w:t>
            </w:r>
          </w:p>
        </w:tc>
        <w:tc>
          <w:tcPr>
            <w:tcW w:w="76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5"/>
                <w:szCs w:val="15"/>
                <w:color w:val="auto"/>
              </w:rPr>
              <w:t>Net IRR</w:t>
            </w:r>
            <w:r>
              <w:rPr>
                <w:rFonts w:ascii="Times New Roman" w:cs="Times New Roman" w:eastAsia="Times New Roman" w:hAnsi="Times New Roman"/>
                <w:sz w:val="20"/>
                <w:szCs w:val="20"/>
                <w:color w:val="auto"/>
                <w:vertAlign w:val="superscript"/>
              </w:rPr>
              <w:t>(4)</w:t>
            </w:r>
          </w:p>
        </w:tc>
        <w:tc>
          <w:tcPr>
            <w:tcW w:w="1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vMerge w:val="restart"/>
            <w:shd w:val="clear" w:color="auto" w:fill="CCEEFF"/>
          </w:tcPr>
          <w:p>
            <w:pPr>
              <w:jc w:val="center"/>
              <w:ind w:right="19"/>
              <w:spacing w:after="0" w:line="176" w:lineRule="exact"/>
              <w:rPr>
                <w:sz w:val="20"/>
                <w:szCs w:val="20"/>
                <w:color w:val="auto"/>
              </w:rPr>
            </w:pPr>
            <w:r>
              <w:rPr>
                <w:rFonts w:ascii="Times New Roman" w:cs="Times New Roman" w:eastAsia="Times New Roman" w:hAnsi="Times New Roman"/>
                <w:sz w:val="15"/>
                <w:szCs w:val="15"/>
                <w:color w:val="auto"/>
              </w:rPr>
              <w:t>Capital</w:t>
            </w:r>
            <w:r>
              <w:rPr>
                <w:rFonts w:ascii="Times New Roman" w:cs="Times New Roman" w:eastAsia="Times New Roman" w:hAnsi="Times New Roman"/>
                <w:sz w:val="20"/>
                <w:szCs w:val="20"/>
                <w:color w:val="auto"/>
                <w:vertAlign w:val="superscript"/>
              </w:rPr>
              <w:t>(4)</w:t>
            </w:r>
          </w:p>
        </w:tc>
        <w:tc>
          <w:tcPr>
            <w:tcW w:w="110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5"/>
                <w:szCs w:val="15"/>
                <w:color w:val="auto"/>
              </w:rPr>
              <w:t>Benchmark</w:t>
            </w:r>
            <w:r>
              <w:rPr>
                <w:rFonts w:ascii="Times New Roman" w:cs="Times New Roman" w:eastAsia="Times New Roman" w:hAnsi="Times New Roman"/>
                <w:sz w:val="20"/>
                <w:szCs w:val="20"/>
                <w:color w:val="auto"/>
                <w:vertAlign w:val="superscript"/>
              </w:rPr>
              <w:t>(5)</w:t>
            </w: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4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vMerge w:val="continue"/>
            <w:shd w:val="clear" w:color="auto" w:fill="CCEEFF"/>
          </w:tcPr>
          <w:p>
            <w:pPr>
              <w:spacing w:after="0"/>
              <w:rPr>
                <w:sz w:val="6"/>
                <w:szCs w:val="6"/>
                <w:color w:val="auto"/>
              </w:rPr>
            </w:pPr>
          </w:p>
        </w:tc>
        <w:tc>
          <w:tcPr>
            <w:tcW w:w="1060" w:type="dxa"/>
            <w:vAlign w:val="bottom"/>
            <w:tcBorders>
              <w:bottom w:val="single" w:sz="8" w:color="CCEEFF"/>
            </w:tcBorders>
            <w:gridSpan w:val="2"/>
            <w:vMerge w:val="continue"/>
            <w:shd w:val="clear" w:color="auto" w:fill="CCEEFF"/>
          </w:tcPr>
          <w:p>
            <w:pPr>
              <w:spacing w:after="0"/>
              <w:rPr>
                <w:sz w:val="6"/>
                <w:szCs w:val="6"/>
                <w:color w:val="auto"/>
              </w:rPr>
            </w:pPr>
          </w:p>
        </w:tc>
        <w:tc>
          <w:tcPr>
            <w:tcW w:w="760" w:type="dxa"/>
            <w:vAlign w:val="bottom"/>
            <w:tcBorders>
              <w:bottom w:val="single" w:sz="8" w:color="CCEEFF"/>
            </w:tcBorders>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10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Primaries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1.4x</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Secondaries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1.3x</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Co-investments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1.4x</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323.6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463.0</w:t>
            </w:r>
          </w:p>
        </w:tc>
        <w:tc>
          <w:tcPr>
            <w:tcW w:w="10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12.1 %</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11.2 %</w:t>
            </w:r>
          </w:p>
        </w:tc>
        <w:tc>
          <w:tcPr>
            <w:tcW w:w="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1.4x</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60" w:right="80" w:hanging="652"/>
        <w:spacing w:after="0" w:line="265" w:lineRule="auto"/>
        <w:tabs>
          <w:tab w:leader="none" w:pos="654" w:val="left"/>
        </w:tabs>
        <w:numPr>
          <w:ilvl w:val="0"/>
          <w:numId w:val="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Performance data shown in the table above is on an inception-to-date basis as of December 31, 2024. Overall performance includes all investments StepStone recommends and subsequently tracks, including advisory co-investments and infrastructure investments made prior to January 1, 2015, the performance summary of Courtland, for which the track record dates back to September 1994. Overall performance excludes</w:t>
      </w:r>
    </w:p>
    <w:p>
      <w:pPr>
        <w:ind w:left="660" w:right="40" w:hanging="4"/>
        <w:spacing w:after="0" w:line="250" w:lineRule="auto"/>
        <w:tabs>
          <w:tab w:leader="none" w:pos="87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client-direct investments, (ii) investments that do not have client data monitored in SPI reporting, (iii) syndicated loan portfolio totaling $0.2 billion, and (iv) investments made by legacy private equity acquired businesses. USD returns for StepStone recommended investments are calculated on a constant currency adjusted USD reporting basis converting non-USD investment cash flows and NAVs to USD using the foreign currency exchange rate corresponding to each client’s first cash flow date. Primaries include open-end investments, and co-investments include venture capital and growth equity direct investments for private equity, and asset management investments for infrastructure direct asset management investments.</w:t>
      </w:r>
    </w:p>
    <w:p>
      <w:pPr>
        <w:spacing w:after="0" w:line="2" w:lineRule="exact"/>
        <w:rPr>
          <w:rFonts w:ascii="Times New Roman" w:cs="Times New Roman" w:eastAsia="Times New Roman" w:hAnsi="Times New Roman"/>
          <w:sz w:val="18"/>
          <w:szCs w:val="18"/>
          <w:color w:val="auto"/>
        </w:rPr>
      </w:pPr>
    </w:p>
    <w:p>
      <w:pPr>
        <w:ind w:left="660" w:hanging="652"/>
        <w:spacing w:after="0" w:line="250"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fund’s contribution to the track record by entering a distribution amount equal to the last reported NAV. Historical performance contribution is maintained up until the ‘liquidation’ date.</w:t>
      </w:r>
    </w:p>
    <w:p>
      <w:pPr>
        <w:spacing w:after="0" w:line="1" w:lineRule="exact"/>
        <w:rPr>
          <w:rFonts w:ascii="Times New Roman" w:cs="Times New Roman" w:eastAsia="Times New Roman" w:hAnsi="Times New Roman"/>
          <w:sz w:val="18"/>
          <w:szCs w:val="18"/>
          <w:color w:val="auto"/>
        </w:rPr>
      </w:pPr>
    </w:p>
    <w:p>
      <w:pPr>
        <w:ind w:left="660" w:right="780" w:hanging="652"/>
        <w:spacing w:after="0" w:line="250"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Inception date reflects date of the first investment: September 1994 for primaries, December 2004 for secondaries and June 2001 for co-investments.</w:t>
      </w:r>
    </w:p>
    <w:p>
      <w:pPr>
        <w:jc w:val="both"/>
        <w:ind w:left="660" w:right="500" w:hanging="652"/>
        <w:spacing w:after="0" w:line="265" w:lineRule="auto"/>
        <w:tabs>
          <w:tab w:leader="none" w:pos="65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Returns are net of fees and expenses charged by both the underlying investment and hypothetical StepStone fees. Investments shown herein include investments across different funds and accounts. The aggregate returns are not indicative of the returns an individual investor would receive from these investments. No individual investor received the aggregate returns described herein as the investments were made across</w:t>
      </w:r>
    </w:p>
    <w:p>
      <w:pPr>
        <w:ind w:left="660" w:right="440"/>
        <w:spacing w:after="0" w:line="250" w:lineRule="auto"/>
        <w:rPr>
          <w:sz w:val="20"/>
          <w:szCs w:val="20"/>
          <w:color w:val="auto"/>
        </w:rPr>
      </w:pPr>
      <w:r>
        <w:rPr>
          <w:rFonts w:ascii="Times New Roman" w:cs="Times New Roman" w:eastAsia="Times New Roman" w:hAnsi="Times New Roman"/>
          <w:sz w:val="18"/>
          <w:szCs w:val="18"/>
          <w:color w:val="auto"/>
        </w:rPr>
        <w:t>multiple mandates over multiple years. Fees are available upon request. StepStone fees and expenses are based on the following assumptions (management fees represent an annual rate):</w:t>
      </w:r>
    </w:p>
    <w:p>
      <w:pPr>
        <w:spacing w:after="0" w:line="1" w:lineRule="exact"/>
        <w:rPr>
          <w:sz w:val="20"/>
          <w:szCs w:val="20"/>
          <w:color w:val="auto"/>
        </w:rPr>
      </w:pPr>
    </w:p>
    <w:p>
      <w:pPr>
        <w:ind w:left="1300" w:right="200" w:hanging="644"/>
        <w:spacing w:after="0" w:line="243" w:lineRule="auto"/>
        <w:tabs>
          <w:tab w:leader="none" w:pos="12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Primaries management fee: 25 basis points of net invested capital for private equity, real estate and infrastructure; 25 basis points of net asset value for private debt; 75 basis points of committed capital for the StepStone VC Platform.</w:t>
      </w:r>
    </w:p>
    <w:p>
      <w:pPr>
        <w:spacing w:after="0" w:line="1" w:lineRule="exact"/>
        <w:rPr>
          <w:rFonts w:ascii="Times New Roman" w:cs="Times New Roman" w:eastAsia="Times New Roman" w:hAnsi="Times New Roman"/>
          <w:sz w:val="18"/>
          <w:szCs w:val="18"/>
          <w:color w:val="auto"/>
        </w:rPr>
      </w:pPr>
    </w:p>
    <w:p>
      <w:pPr>
        <w:ind w:left="1300" w:right="60" w:hanging="644"/>
        <w:spacing w:after="0" w:line="223" w:lineRule="auto"/>
        <w:tabs>
          <w:tab w:leader="none" w:pos="12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Secondaries management fee: 125 basis points, 125 basis points and 95 basis points for private equity, real estate and infrastructure, respectively, of capital commitments in years 1 through 4 for management fees, charged quarterly. In year 5, management fees step down to 90% of the previous year’s fee; 65 basis points of net asset value for private debt; 75 basis points of committed capital for the StepStone VC Platform.</w:t>
      </w:r>
    </w:p>
    <w:p>
      <w:pPr>
        <w:ind w:left="1300" w:right="220" w:hanging="644"/>
        <w:spacing w:after="0" w:line="229" w:lineRule="auto"/>
        <w:tabs>
          <w:tab w:leader="none" w:pos="12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management fee: 100 basis points of net committed capital for private equity and real estate; 85 and 50 basis points for infrastructure co-investments and direct asset management investments, respectively, of net committed capital; 65 basis points of net asset value for private debt; 200 basis points of net invested capital for the StepStone VC Platform.</w:t>
      </w:r>
    </w:p>
    <w:p>
      <w:pPr>
        <w:spacing w:after="0" w:line="1" w:lineRule="exact"/>
        <w:rPr>
          <w:rFonts w:ascii="Times New Roman" w:cs="Times New Roman" w:eastAsia="Times New Roman" w:hAnsi="Times New Roman"/>
          <w:sz w:val="18"/>
          <w:szCs w:val="18"/>
          <w:color w:val="auto"/>
        </w:rPr>
      </w:pPr>
    </w:p>
    <w:p>
      <w:pPr>
        <w:ind w:left="1300" w:right="880" w:hanging="644"/>
        <w:spacing w:after="0" w:line="258" w:lineRule="auto"/>
        <w:tabs>
          <w:tab w:leader="none" w:pos="12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assess 5 basis points of capital commitments for fund expenses, charged quarterly, and 1 basis point of capital commitments drawn down in the first cash flow quarter for organizational costs.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300" w:right="200" w:hanging="644"/>
        <w:spacing w:after="0" w:line="253" w:lineRule="auto"/>
        <w:tabs>
          <w:tab w:leader="none" w:pos="128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secondaries and co-investments include 12.5% and 10.0% of paid and unrealized carry, respectively, with an 8.0% preferred return hurdle; infrastructure secondaries and co-investments include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 respectively, of paid and unrealized carry with no preferred return hurdle.</w:t>
      </w:r>
    </w:p>
    <w:p>
      <w:pPr>
        <w:spacing w:after="0" w:line="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outperformance of investments as compared to the MSCI ACWI Total Return using the Direct Alpha public market equivalent method.</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StepStone Performance Summary by Asset Class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PRIVATE EQUITY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PRIVATE DEBT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shd w:val="clear" w:color="auto" w:fill="CCEEFF"/>
          </w:tcPr>
          <w:p>
            <w:pPr>
              <w:jc w:val="center"/>
              <w:ind w:left="194"/>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20" w:type="dxa"/>
            <w:vAlign w:val="bottom"/>
            <w:shd w:val="clear" w:color="auto" w:fill="CCEEFF"/>
          </w:tcPr>
          <w:p>
            <w:pPr>
              <w:jc w:val="center"/>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(1,2,4)</w:t>
            </w:r>
          </w:p>
        </w:tc>
        <w:tc>
          <w:tcPr>
            <w:tcW w:w="900" w:type="dxa"/>
            <w:vAlign w:val="bottom"/>
            <w:shd w:val="clear" w:color="auto" w:fill="CCEEFF"/>
          </w:tcPr>
          <w:p>
            <w:pPr>
              <w:jc w:val="center"/>
              <w:ind w:left="194"/>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IRR</w:t>
            </w:r>
            <w:r>
              <w:rPr>
                <w:rFonts w:ascii="Times New Roman" w:cs="Times New Roman" w:eastAsia="Times New Roman" w:hAnsi="Times New Roman"/>
                <w:sz w:val="8"/>
                <w:szCs w:val="8"/>
                <w:b w:val="1"/>
                <w:bCs w:val="1"/>
                <w:color w:val="auto"/>
                <w:w w:val="96"/>
              </w:rPr>
              <w:t>(3)</w:t>
            </w:r>
          </w:p>
        </w:tc>
        <w:tc>
          <w:tcPr>
            <w:tcW w:w="76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23"/>
                <w:szCs w:val="23"/>
                <w:b w:val="1"/>
                <w:bCs w:val="1"/>
                <w:color w:val="auto"/>
                <w:w w:val="97"/>
                <w:vertAlign w:val="subscript"/>
              </w:rPr>
              <w:t>TVM</w:t>
            </w:r>
            <w:r>
              <w:rPr>
                <w:rFonts w:ascii="Times New Roman" w:cs="Times New Roman" w:eastAsia="Times New Roman" w:hAnsi="Times New Roman"/>
                <w:sz w:val="8"/>
                <w:szCs w:val="8"/>
                <w:b w:val="1"/>
                <w:bCs w:val="1"/>
                <w:color w:val="auto"/>
                <w:w w:val="97"/>
              </w:rPr>
              <w:t>(3)</w:t>
            </w:r>
          </w:p>
        </w:tc>
        <w:tc>
          <w:tcPr>
            <w:tcW w:w="18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(1,4,5)</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IRR</w:t>
            </w:r>
            <w:r>
              <w:rPr>
                <w:rFonts w:ascii="Times New Roman" w:cs="Times New Roman" w:eastAsia="Times New Roman" w:hAnsi="Times New Roman"/>
                <w:sz w:val="8"/>
                <w:szCs w:val="8"/>
                <w:b w:val="1"/>
                <w:bCs w:val="1"/>
                <w:color w:val="auto"/>
              </w:rPr>
              <w:t>(3)</w:t>
            </w:r>
          </w:p>
        </w:tc>
        <w:tc>
          <w:tcPr>
            <w:tcW w:w="780" w:type="dxa"/>
            <w:vAlign w:val="bottom"/>
            <w:gridSpan w:val="2"/>
            <w:shd w:val="clear" w:color="auto" w:fill="CCEEFF"/>
          </w:tcPr>
          <w:p>
            <w:pPr>
              <w:jc w:val="center"/>
              <w:ind w:right="60"/>
              <w:spacing w:after="0" w:line="202" w:lineRule="exact"/>
              <w:rPr>
                <w:sz w:val="20"/>
                <w:szCs w:val="20"/>
                <w:color w:val="auto"/>
              </w:rPr>
            </w:pPr>
            <w:r>
              <w:rPr>
                <w:rFonts w:ascii="Times New Roman" w:cs="Times New Roman" w:eastAsia="Times New Roman" w:hAnsi="Times New Roman"/>
                <w:sz w:val="23"/>
                <w:szCs w:val="23"/>
                <w:b w:val="1"/>
                <w:bCs w:val="1"/>
                <w:color w:val="auto"/>
                <w:w w:val="97"/>
                <w:vertAlign w:val="subscript"/>
              </w:rPr>
              <w:t>TVM</w:t>
            </w:r>
            <w:r>
              <w:rPr>
                <w:rFonts w:ascii="Times New Roman" w:cs="Times New Roman" w:eastAsia="Times New Roman" w:hAnsi="Times New Roman"/>
                <w:sz w:val="8"/>
                <w:szCs w:val="8"/>
                <w:b w:val="1"/>
                <w:bCs w:val="1"/>
                <w:color w:val="auto"/>
                <w:w w:val="97"/>
              </w:rPr>
              <w:t>(3)</w:t>
            </w:r>
          </w:p>
        </w:tc>
        <w:tc>
          <w:tcPr>
            <w:tcW w:w="18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(1,4,6)</w:t>
            </w:r>
          </w:p>
        </w:tc>
        <w:tc>
          <w:tcPr>
            <w:tcW w:w="520" w:type="dxa"/>
            <w:vAlign w:val="bottom"/>
            <w:shd w:val="clear" w:color="auto" w:fill="CCEEFF"/>
          </w:tcPr>
          <w:p>
            <w:pPr>
              <w:jc w:val="center"/>
              <w:ind w:right="73"/>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IRR</w:t>
            </w:r>
            <w:r>
              <w:rPr>
                <w:rFonts w:ascii="Times New Roman" w:cs="Times New Roman" w:eastAsia="Times New Roman" w:hAnsi="Times New Roman"/>
                <w:sz w:val="8"/>
                <w:szCs w:val="8"/>
                <w:b w:val="1"/>
                <w:bCs w:val="1"/>
                <w:color w:val="auto"/>
              </w:rPr>
              <w:t>(3)</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(1,4,8)</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IRR</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89"/>
        </w:trPr>
        <w:tc>
          <w:tcPr>
            <w:tcW w:w="1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900" w:type="dxa"/>
            <w:vAlign w:val="bottom"/>
            <w:tcBorders>
              <w:top w:val="single" w:sz="8" w:color="auto"/>
              <w:bottom w:val="single" w:sz="8" w:color="auto"/>
            </w:tcBorders>
          </w:tcPr>
          <w:p>
            <w:pPr>
              <w:jc w:val="center"/>
              <w:ind w:left="194"/>
              <w:spacing w:after="0"/>
              <w:rPr>
                <w:sz w:val="20"/>
                <w:szCs w:val="20"/>
                <w:color w:val="auto"/>
              </w:rPr>
            </w:pPr>
            <w:r>
              <w:rPr>
                <w:rFonts w:ascii="Times New Roman" w:cs="Times New Roman" w:eastAsia="Times New Roman" w:hAnsi="Times New Roman"/>
                <w:sz w:val="14"/>
                <w:szCs w:val="14"/>
                <w:color w:val="auto"/>
                <w:w w:val="99"/>
              </w:rPr>
              <w:t>14.5%</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1.5x</w:t>
            </w:r>
          </w:p>
        </w:tc>
        <w:tc>
          <w:tcPr>
            <w:tcW w:w="80" w:type="dxa"/>
            <w:vAlign w:val="bottom"/>
            <w:tcBorders>
              <w:bottom w:val="single" w:sz="8" w:color="CCEEFF"/>
            </w:tcBorders>
          </w:tcPr>
          <w:p>
            <w:pPr>
              <w:spacing w:after="0"/>
              <w:rPr>
                <w:sz w:val="16"/>
                <w:szCs w:val="16"/>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1.4x</w:t>
            </w:r>
          </w:p>
        </w:tc>
        <w:tc>
          <w:tcPr>
            <w:tcW w:w="100" w:type="dxa"/>
            <w:vAlign w:val="bottom"/>
            <w:tcBorders>
              <w:bottom w:val="single" w:sz="8" w:color="CCEEFF"/>
            </w:tcBorders>
          </w:tcPr>
          <w:p>
            <w:pPr>
              <w:spacing w:after="0"/>
              <w:rPr>
                <w:sz w:val="16"/>
                <w:szCs w:val="16"/>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Core/debt</w:t>
            </w:r>
          </w:p>
        </w:tc>
        <w:tc>
          <w:tcPr>
            <w:tcW w:w="520" w:type="dxa"/>
            <w:vAlign w:val="bottom"/>
            <w:tcBorders>
              <w:top w:val="single" w:sz="8" w:color="auto"/>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1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Direct lending</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39"/>
        </w:trPr>
        <w:tc>
          <w:tcPr>
            <w:tcW w:w="1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900" w:type="dxa"/>
            <w:vAlign w:val="bottom"/>
            <w:vMerge w:val="restart"/>
            <w:shd w:val="clear" w:color="auto" w:fill="CCEEFF"/>
          </w:tcPr>
          <w:p>
            <w:pPr>
              <w:jc w:val="center"/>
              <w:ind w:left="194"/>
              <w:spacing w:after="0"/>
              <w:rPr>
                <w:sz w:val="20"/>
                <w:szCs w:val="20"/>
                <w:color w:val="auto"/>
              </w:rPr>
            </w:pPr>
            <w:r>
              <w:rPr>
                <w:rFonts w:ascii="Times New Roman" w:cs="Times New Roman" w:eastAsia="Times New Roman" w:hAnsi="Times New Roman"/>
                <w:sz w:val="14"/>
                <w:szCs w:val="14"/>
                <w:color w:val="auto"/>
                <w:w w:val="99"/>
              </w:rPr>
              <w:t>15.1%</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1.4x</w:t>
            </w:r>
          </w:p>
        </w:tc>
        <w:tc>
          <w:tcPr>
            <w:tcW w:w="80" w:type="dxa"/>
            <w:vAlign w:val="bottom"/>
            <w:vMerge w:val="restart"/>
            <w:shd w:val="clear" w:color="auto" w:fill="CCEEFF"/>
          </w:tcPr>
          <w:p>
            <w:pPr>
              <w:spacing w:after="0"/>
              <w:rPr>
                <w:sz w:val="12"/>
                <w:szCs w:val="12"/>
                <w:color w:val="auto"/>
              </w:rPr>
            </w:pPr>
          </w:p>
        </w:tc>
        <w:tc>
          <w:tcPr>
            <w:tcW w:w="18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1.3x</w:t>
            </w:r>
          </w:p>
        </w:tc>
        <w:tc>
          <w:tcPr>
            <w:tcW w:w="100" w:type="dxa"/>
            <w:vAlign w:val="bottom"/>
            <w:vMerge w:val="restart"/>
            <w:shd w:val="clear" w:color="auto" w:fill="CCEEFF"/>
          </w:tcPr>
          <w:p>
            <w:pPr>
              <w:spacing w:after="0"/>
              <w:rPr>
                <w:sz w:val="12"/>
                <w:szCs w:val="12"/>
                <w:color w:val="auto"/>
              </w:rPr>
            </w:pPr>
          </w:p>
        </w:tc>
        <w:tc>
          <w:tcPr>
            <w:tcW w:w="18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Core+/value-add - primary</w:t>
            </w:r>
          </w:p>
        </w:tc>
        <w:tc>
          <w:tcPr>
            <w:tcW w:w="520" w:type="dxa"/>
            <w:vAlign w:val="bottom"/>
            <w:vMerge w:val="restart"/>
            <w:shd w:val="clear" w:color="auto" w:fill="CCEEFF"/>
          </w:tcPr>
          <w:p>
            <w:pPr>
              <w:jc w:val="center"/>
              <w:ind w:right="73"/>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2"/>
                <w:szCs w:val="12"/>
                <w:color w:val="auto"/>
              </w:rPr>
            </w:pPr>
          </w:p>
        </w:tc>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Distressed debt</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Co-investments</w:t>
            </w:r>
            <w:r>
              <w:rPr>
                <w:rFonts w:ascii="Times New Roman" w:cs="Times New Roman" w:eastAsia="Times New Roman" w:hAnsi="Times New Roman"/>
                <w:sz w:val="9"/>
                <w:szCs w:val="9"/>
                <w:color w:val="auto"/>
              </w:rPr>
              <w:t>(7)</w:t>
            </w:r>
          </w:p>
        </w:tc>
        <w:tc>
          <w:tcPr>
            <w:tcW w:w="900" w:type="dxa"/>
            <w:vAlign w:val="bottom"/>
            <w:vMerge w:val="restart"/>
          </w:tcPr>
          <w:p>
            <w:pPr>
              <w:jc w:val="center"/>
              <w:ind w:left="194"/>
              <w:spacing w:after="0"/>
              <w:rPr>
                <w:sz w:val="20"/>
                <w:szCs w:val="20"/>
                <w:color w:val="auto"/>
              </w:rPr>
            </w:pPr>
            <w:r>
              <w:rPr>
                <w:rFonts w:ascii="Times New Roman" w:cs="Times New Roman" w:eastAsia="Times New Roman" w:hAnsi="Times New Roman"/>
                <w:sz w:val="14"/>
                <w:szCs w:val="14"/>
                <w:color w:val="auto"/>
                <w:w w:val="99"/>
              </w:rPr>
              <w:t>15.5%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1.6x</w:t>
            </w:r>
          </w:p>
        </w:tc>
        <w:tc>
          <w:tcPr>
            <w:tcW w:w="80" w:type="dxa"/>
            <w:vAlign w:val="bottom"/>
            <w:vMerge w:val="restart"/>
          </w:tcPr>
          <w:p>
            <w:pPr>
              <w:spacing w:after="0"/>
              <w:rPr>
                <w:sz w:val="11"/>
                <w:szCs w:val="11"/>
                <w:color w:val="auto"/>
              </w:rPr>
            </w:pPr>
          </w:p>
        </w:tc>
        <w:tc>
          <w:tcPr>
            <w:tcW w:w="18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Real estate debt fund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vMerge w:val="restart"/>
          </w:tcPr>
          <w:p>
            <w:pPr>
              <w:spacing w:after="0"/>
              <w:rPr>
                <w:sz w:val="11"/>
                <w:szCs w:val="11"/>
                <w:color w:val="auto"/>
              </w:rPr>
            </w:pPr>
          </w:p>
        </w:tc>
        <w:tc>
          <w:tcPr>
            <w:tcW w:w="18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Core+/value-add - secondary</w:t>
            </w:r>
          </w:p>
        </w:tc>
        <w:tc>
          <w:tcPr>
            <w:tcW w:w="5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(9)</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Value-add/opportunistic</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vMerge w:val="restart"/>
            <w:shd w:val="clear" w:color="auto" w:fill="CCEEFF"/>
          </w:tcPr>
          <w:p>
            <w:pPr>
              <w:spacing w:after="0"/>
              <w:rPr>
                <w:sz w:val="11"/>
                <w:szCs w:val="11"/>
                <w:color w:val="auto"/>
              </w:rPr>
            </w:pPr>
          </w:p>
        </w:tc>
        <w:tc>
          <w:tcPr>
            <w:tcW w:w="18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Core+/value-add - co-</w:t>
            </w:r>
          </w:p>
        </w:tc>
        <w:tc>
          <w:tcPr>
            <w:tcW w:w="520" w:type="dxa"/>
            <w:vAlign w:val="bottom"/>
            <w:vMerge w:val="restart"/>
            <w:shd w:val="clear" w:color="auto" w:fill="CCEEFF"/>
          </w:tcPr>
          <w:p>
            <w:pPr>
              <w:jc w:val="center"/>
              <w:ind w:right="73"/>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120" w:hanging="652"/>
        <w:spacing w:after="0" w:line="250"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returns reflect NAV data for underlying investments as of December 31, 2024, as reported by underlying managers up to the business day occurring on or after 115 days following December 31, 2024. For investment returns where NAV data is not available by the business day occurring on or after 115 days following December 31, 2024, such NAVs are adjusted for cash activity following the last available reported NAV. 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Times New Roman" w:cs="Times New Roman" w:eastAsia="Times New Roman" w:hAnsi="Times New Roman"/>
          <w:sz w:val="18"/>
          <w:szCs w:val="18"/>
          <w:color w:val="auto"/>
        </w:rPr>
      </w:pPr>
    </w:p>
    <w:p>
      <w:pPr>
        <w:ind w:left="660" w:right="40" w:hanging="652"/>
        <w:spacing w:after="0" w:line="250"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includes 2,890 investments totaling $210.0 billion of capital commitments and excludes (i) two advisory co-investments, totaling $100.0 million of capital commitments, (ii) 236 client-directed private equity investments, totaling $32.3 billion of capital commitments, and (iii) investments that do not have client data monitored in SPI Reporting. Private equity includes buyout, venture capital, growth equity, fund-of-funds, and energy focused strategies. StepStone’s venture capital and growth equity strategy is composed of a) venture capital and growth equity focused commingled funds and separately managed accounts (the “StepStone VC Platform”) and b) underlying venture capital and growth equity investments within StepStone’s broader private equity accounts (“StepStone PE Accounts”).</w:t>
      </w:r>
    </w:p>
    <w:p>
      <w:pPr>
        <w:spacing w:after="0" w:line="2" w:lineRule="exact"/>
        <w:rPr>
          <w:rFonts w:ascii="Times New Roman" w:cs="Times New Roman" w:eastAsia="Times New Roman" w:hAnsi="Times New Roman"/>
          <w:sz w:val="18"/>
          <w:szCs w:val="18"/>
          <w:color w:val="auto"/>
        </w:rPr>
      </w:pPr>
    </w:p>
    <w:p>
      <w:pPr>
        <w:ind w:left="660" w:right="140" w:hanging="652"/>
        <w:spacing w:after="0" w:line="250"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charged quarterly):</w:t>
      </w:r>
    </w:p>
    <w:p>
      <w:pPr>
        <w:spacing w:after="0" w:line="1" w:lineRule="exact"/>
        <w:rPr>
          <w:rFonts w:ascii="Times New Roman" w:cs="Times New Roman" w:eastAsia="Times New Roman" w:hAnsi="Times New Roman"/>
          <w:sz w:val="18"/>
          <w:szCs w:val="18"/>
          <w:color w:val="auto"/>
        </w:rPr>
      </w:pPr>
    </w:p>
    <w:p>
      <w:pPr>
        <w:ind w:left="1300" w:right="200" w:hanging="644"/>
        <w:spacing w:after="0" w:line="243" w:lineRule="auto"/>
        <w:tabs>
          <w:tab w:leader="none" w:pos="128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Primaries management fee: 25 basis points of net invested capital for private equity, real estate and infrastructure; 25 basis points of net asset value for private debt; 75 basis points of committed capital for the StepStone VC Platform.</w:t>
      </w:r>
    </w:p>
    <w:p>
      <w:pPr>
        <w:spacing w:after="0" w:line="1" w:lineRule="exact"/>
        <w:rPr>
          <w:rFonts w:ascii="Times New Roman" w:cs="Times New Roman" w:eastAsia="Times New Roman" w:hAnsi="Times New Roman"/>
          <w:sz w:val="18"/>
          <w:szCs w:val="18"/>
          <w:color w:val="auto"/>
        </w:rPr>
      </w:pPr>
    </w:p>
    <w:p>
      <w:pPr>
        <w:ind w:left="1300" w:right="60" w:hanging="644"/>
        <w:spacing w:after="0" w:line="230" w:lineRule="auto"/>
        <w:tabs>
          <w:tab w:leader="none" w:pos="129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Secondaries management fee: 125 basis points, 125 basis points and 95 basis points for private equity, real estate and infrastructure, respectively, of capital commitments in years 1 through 4 for management fees, charged quarterly. In year 5, management fees step down to 90% of the previous year’s fee; 65 basis points of net asset value for private debt; 75 basis points of committed capital for the StepStone VC Platform.</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00" w:right="200" w:hanging="644"/>
        <w:spacing w:after="0" w:line="232" w:lineRule="auto"/>
        <w:tabs>
          <w:tab w:leader="none" w:pos="12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management fee: 100 basis points of net committed capital for private equity and real estate; 85 and 50 basis points for infrastructure co-investments and direct asset management investments, respectively, of net committed capital; 65 basis points of net asset value for private debt; 200 basis points of net invested capital for the StepStone VC Platform.</w:t>
      </w:r>
    </w:p>
    <w:p>
      <w:pPr>
        <w:ind w:left="1300" w:right="860" w:hanging="644"/>
        <w:spacing w:after="0" w:line="249" w:lineRule="auto"/>
        <w:tabs>
          <w:tab w:leader="none" w:pos="12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assess 5 basis points of capital commitments for fund expenses, charged quarterly, and 1 basis point of capital commitments drawn down in the first cash flow quarter for organizational costs.</w:t>
      </w:r>
    </w:p>
    <w:p>
      <w:pPr>
        <w:ind w:left="1300" w:right="180" w:hanging="644"/>
        <w:spacing w:after="0" w:line="250" w:lineRule="auto"/>
        <w:tabs>
          <w:tab w:leader="none" w:pos="128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secondaries and co-investments include 12.5% and 10.0% of paid and unrealized carry, respectively, with an 8.0% preferred return hurdle; infrastructure secondaries and co-investments include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 respectively, of paid and unrealized carry with no preferred return hurdle.</w:t>
      </w:r>
    </w:p>
    <w:p>
      <w:pPr>
        <w:spacing w:after="0" w:line="2" w:lineRule="exact"/>
        <w:rPr>
          <w:sz w:val="20"/>
          <w:szCs w:val="20"/>
          <w:color w:val="auto"/>
        </w:rPr>
      </w:pPr>
    </w:p>
    <w:p>
      <w:pPr>
        <w:ind w:left="660" w:right="320"/>
        <w:spacing w:after="0" w:line="250" w:lineRule="auto"/>
        <w:rPr>
          <w:sz w:val="20"/>
          <w:szCs w:val="20"/>
          <w:color w:val="auto"/>
        </w:rPr>
      </w:pPr>
      <w:r>
        <w:rPr>
          <w:rFonts w:ascii="Times New Roman" w:cs="Times New Roman" w:eastAsia="Times New Roman" w:hAnsi="Times New Roman"/>
          <w:sz w:val="18"/>
          <w:szCs w:val="18"/>
          <w:color w:val="auto"/>
        </w:rPr>
        <w:t>Net IRR and Net TVM for certain investments may have been impacted by StepStone’s, or the underlying fund manager’s, use of subscription backed credit facilities by such vehicles. Reinvested/recycled amounts increase contributed capital.</w:t>
      </w:r>
    </w:p>
    <w:p>
      <w:pPr>
        <w:spacing w:after="0" w:line="1" w:lineRule="exact"/>
        <w:rPr>
          <w:sz w:val="20"/>
          <w:szCs w:val="20"/>
          <w:color w:val="auto"/>
        </w:rPr>
      </w:pPr>
    </w:p>
    <w:p>
      <w:pPr>
        <w:ind w:left="660" w:right="20" w:hanging="652"/>
        <w:spacing w:after="0" w:line="250"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Times New Roman" w:cs="Times New Roman" w:eastAsia="Times New Roman" w:hAnsi="Times New Roman"/>
          <w:sz w:val="18"/>
          <w:szCs w:val="18"/>
          <w:color w:val="auto"/>
        </w:rPr>
      </w:pPr>
    </w:p>
    <w:p>
      <w:pPr>
        <w:ind w:left="660" w:right="280" w:hanging="652"/>
        <w:spacing w:after="0" w:line="250"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includes 481 investments totaling $84.6 billion of capital commitments and excludes (i) 90 client-directed real estate investments, totaling $14.6 billion of capital commitments, (ii) 18 secondary/co-investment core/core+ or credit investments, totaling $1.1 billion of capital commitments, (iii) four advisory fund investments totaling $463.6 million of capital commitments, and (iv) investments that do not have client data monitored in SPI Reporting.</w:t>
      </w:r>
    </w:p>
    <w:p>
      <w:pPr>
        <w:spacing w:after="0" w:line="1"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includes 298 investments totaling $63.4 billion of capital commitments and excludes (i) eight infrastructure investments made by the Partnership prior to the formation of the infrastructure subsidiary in 2013 or made prior to StepStone’s acquisition of Courtland Partners, Ltd. on April 1, 2018 (the “Courtland acquisition”), totaling $501.9 million of capital commitments, (ii) 40 client-directed infrastructure investments, totaling $9.2 billion of capital commitments, and (iii) investments that do not have client data monitored in SPI Reporting.</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include venture capital and growth equity direct investments for private equity.</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includes 1,033 investments totaling $54.6 billion of capital commitments and excludes (i) 43 client-directed debt investments, totaling $3.2 billion of capital commitments, (ii) 49 real estate credit investments that were recommended by Courtland Partners, Ltd. prior to the Courtland acquisition, totaling $5.1 billion of capital commitments), and (iii) investments that do not have client data monitored in SPI Reporting.</w:t>
      </w:r>
    </w:p>
    <w:p>
      <w:pPr>
        <w:spacing w:after="0" w:line="1" w:lineRule="exact"/>
        <w:rPr>
          <w:rFonts w:ascii="Times New Roman" w:cs="Times New Roman" w:eastAsia="Times New Roman" w:hAnsi="Times New Roman"/>
          <w:sz w:val="18"/>
          <w:szCs w:val="18"/>
          <w:color w:val="auto"/>
        </w:rPr>
      </w:pPr>
    </w:p>
    <w:p>
      <w:pPr>
        <w:ind w:left="660" w:right="200" w:hanging="652"/>
        <w:spacing w:after="0" w:line="260"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mezzanine debt, collateralized loan obligations, leasing, regulatory capital, trade finance, intellectual property/royalty, real estate debt and infrastructure debt.</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Sources and Uses of Liquidity</w:t>
      </w:r>
    </w:p>
    <w:p>
      <w:pPr>
        <w:spacing w:after="0" w:line="23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We generate cash primarily from management and advisory fees and performance fees.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for property, equipment, and acquisitions to expand into new businesses.</w:t>
      </w:r>
    </w:p>
    <w:p>
      <w:pPr>
        <w:spacing w:after="0" w:line="192" w:lineRule="exact"/>
        <w:rPr>
          <w:sz w:val="20"/>
          <w:szCs w:val="20"/>
          <w:color w:val="auto"/>
        </w:rPr>
      </w:pPr>
    </w:p>
    <w:p>
      <w:pPr>
        <w:jc w:val="both"/>
        <w:ind w:right="240" w:firstLine="648"/>
        <w:spacing w:after="0" w:line="281" w:lineRule="auto"/>
        <w:rPr>
          <w:sz w:val="20"/>
          <w:szCs w:val="20"/>
          <w:color w:val="auto"/>
        </w:rPr>
      </w:pPr>
      <w:r>
        <w:rPr>
          <w:rFonts w:ascii="Times New Roman" w:cs="Times New Roman" w:eastAsia="Times New Roman" w:hAnsi="Times New Roman"/>
          <w:sz w:val="19"/>
          <w:szCs w:val="19"/>
          <w:color w:val="auto"/>
        </w:rPr>
        <w:t>As of March 31, 2025, we had $245.3 million of cash, cash equivalents and restricted cash ($289.8 million including Consolidated Funds) and $1,679.4 million of investments in StepStone Funds, including $1,495.7 million of accrued carried interest allocations, against $269.3 million in debt obligations, net of debt issuance costs, and $758.0 million in accrued carried interest-related compensation payable.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Ongoing sources of cash include (a) management and advisory fees, which are collected monthly or quarterly, (b) performance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flows to meet our liquidity and capital resources requirements for the next 12 months.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accompanying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our cash flows attributable to operating, investing and financing activities: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Operating activities provided $64.9 million, $161.5 million and $151.2 million of cash for fiscal 2025, 2024 and 2023, respectively.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2025, 2024 and 2023, respectively, these amounts primarily consisted of the following:</w:t>
      </w:r>
    </w:p>
    <w:p>
      <w:pPr>
        <w:spacing w:after="0" w:line="200" w:lineRule="exact"/>
        <w:rPr>
          <w:sz w:val="20"/>
          <w:szCs w:val="20"/>
          <w:color w:val="auto"/>
        </w:rPr>
      </w:pPr>
    </w:p>
    <w:p>
      <w:pPr>
        <w:ind w:left="980" w:right="20" w:hanging="324"/>
        <w:spacing w:after="0" w:line="258" w:lineRule="auto"/>
        <w:tabs>
          <w:tab w:leader="none" w:pos="96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after adjustments for non-cash items (including unrealized mark-to-market changes in the fair value of the profits interests issued in the private wealth subsidiary, unrealized carried interest allocations, unrealized performance fee-related compensation, unrealized investment (income) loss and fair value adjustment for acquisition-related contingent consideration), of $419.3 million, $243.9 million and $214.5 million;</w:t>
      </w:r>
    </w:p>
    <w:p>
      <w:pPr>
        <w:spacing w:after="0" w:line="18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$(19.8) million, $18.8 million and $(32.6)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for acquisition-related contingent consideration of $51.5 million, $0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unrealized investment income from Consolidated Funds of $62.2 million, $26.1 million and $9.3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purchases of investments of Consolidated Funds of $221.0 million, $75.1 million and $21.3 million; 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60" w:hanging="304"/>
        <w:spacing w:after="0"/>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Consolidated Funds of $32 thousand, $0.1 million and $(0.2)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Investing activities used $43.5 million, $47.3 million and $30.8 million of cash for fiscal 2025, 2024 and 2023, respectively, and primarily consisted of the following amounts:</w:t>
      </w:r>
    </w:p>
    <w:p>
      <w:pPr>
        <w:spacing w:after="0" w:line="173" w:lineRule="exact"/>
        <w:rPr>
          <w:sz w:val="20"/>
          <w:szCs w:val="20"/>
          <w:color w:val="auto"/>
        </w:rPr>
      </w:pPr>
    </w:p>
    <w:p>
      <w:pPr>
        <w:ind w:left="960" w:hanging="304"/>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of $42.8 million, $19.0 million and $16.4 million;</w:t>
      </w:r>
    </w:p>
    <w:p>
      <w:pPr>
        <w:spacing w:after="0" w:line="229" w:lineRule="exact"/>
        <w:rPr>
          <w:rFonts w:ascii="Times New Roman" w:cs="Times New Roman" w:eastAsia="Times New Roman" w:hAnsi="Times New Roman"/>
          <w:sz w:val="20"/>
          <w:szCs w:val="20"/>
          <w:color w:val="auto"/>
        </w:rPr>
      </w:pPr>
    </w:p>
    <w:p>
      <w:pPr>
        <w:ind w:left="980" w:right="360" w:hanging="324"/>
        <w:spacing w:after="0" w:line="269" w:lineRule="auto"/>
        <w:tabs>
          <w:tab w:leader="none" w:pos="96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distributions from investments in legacy Greenspring entities of $4.4 million, $(8.8) million and $(8.8) million; and</w:t>
      </w:r>
    </w:p>
    <w:p>
      <w:pPr>
        <w:spacing w:after="0" w:line="17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fixed assets of $5.1 million, $19.6 million and $5.6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Financing activities provided (used) $87.5 million, $(58.0) million and $(108.0) million for fiscal 2025, 2024 and 2023, respectively, and primarily consisted of the following:</w:t>
      </w:r>
    </w:p>
    <w:p>
      <w:pPr>
        <w:spacing w:after="0" w:line="146" w:lineRule="exact"/>
        <w:rPr>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borrowings (repayments) on revolving credit facility of $(50.0) million, $50.0 million and $35.0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issuance of notes payable of $175.0 million, $0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financing costs of $5.4 million; $0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non-controlling interests of $5.4 million, $0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of non-controlling interests of $0 million, $3.0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of redeemable non-controlling interests of $13.0 million, $0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from non-controlling interests $8.8 million, $43 thousand and $0.2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of $129.3 million, $97.3 million and $109.5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to legacy Greenspring entities of $19.6 million, $12.5 million and $13.4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in legacy Greenspring entities of $32.0 million, $9.0 million and $11.1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for acquisition-related contingent consideration of $17.8 million, $0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paid to common stockholders of $75.8 million, $68.5 million and $50.0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for employee taxes related to the net settlement of RSUs of $1.5 million, $0.7 million and $2.7 million;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60" w:hanging="304"/>
        <w:spacing w:after="0"/>
        <w:tabs>
          <w:tab w:leader="none" w:pos="9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issuance of Class A common stock under ESPP of $2.5 million, $0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related parties under the Tax Receivable Agreements of $9.8 million, $10.3 million and $6.0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repayments on fund credit facility of $40 thousand, $0 million and $0 million;</w:t>
      </w:r>
    </w:p>
    <w:p>
      <w:pPr>
        <w:spacing w:after="0" w:line="215" w:lineRule="exact"/>
        <w:rPr>
          <w:rFonts w:ascii="Times New Roman" w:cs="Times New Roman" w:eastAsia="Times New Roman" w:hAnsi="Times New Roman"/>
          <w:sz w:val="20"/>
          <w:szCs w:val="20"/>
          <w:color w:val="auto"/>
        </w:rPr>
      </w:pPr>
    </w:p>
    <w:p>
      <w:pPr>
        <w:ind w:left="980" w:right="540" w:hanging="324"/>
        <w:spacing w:after="0" w:line="283" w:lineRule="auto"/>
        <w:tabs>
          <w:tab w:leader="none" w:pos="96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from redeemable non-controlling interests in Consolidated Funds of $240.3 million, $62.3 million and $22.8 million; and</w:t>
      </w:r>
    </w:p>
    <w:p>
      <w:pPr>
        <w:spacing w:after="0" w:line="15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redemptions of redeemable non-controlling interests in Consolidated Funds of $18.7 million, $0 million and $0 million.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We are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administrative agent and collateral agent, and certain other lenders party thereto and provides for a $300.0 million multicurrency Revolver.</w:t>
      </w:r>
    </w:p>
    <w:p>
      <w:pPr>
        <w:spacing w:after="0" w:line="18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We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March 31, 2025 was 6.48%.</w:t>
      </w:r>
    </w:p>
    <w:p>
      <w:pPr>
        <w:spacing w:after="0" w:line="20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81"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We can use available funding capacity under the Revolver to satisfy letters of credit in amounts up to $10.0 million. Amounts used to satisfy the letters of credit reduce the available capacity under the Revolver. As of March 31, 2025, we had outstanding letters of credit totaling $6.5 million.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Senior Notes</w:t>
      </w:r>
    </w:p>
    <w:p>
      <w:pPr>
        <w:spacing w:after="0" w:line="233"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we issued $175.0 million aggregate principal amount of our 5.52% Series A senior notes due October 22, 2029, pursuant to the Note Purchase Agreement, dated as of October 22, 2024, in a private placement exempt from registration under the Securities Act.</w:t>
      </w:r>
    </w:p>
    <w:p>
      <w:pPr>
        <w:spacing w:after="0" w:line="18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is payable semi-annually in arrears on April 22 and October 22 of each year, commencing on April 22, 2025. Interest on the Notes accrues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Debt Obligations of Consolidated Funds</w:t>
      </w:r>
    </w:p>
    <w:p>
      <w:pPr>
        <w:spacing w:after="0" w:line="233"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Certain Consolidated Funds may maintain revolving credit facilities that are secured by fund assets to fund investments on a short-term basis. The debt obligations of the Consolidated Funds are non-recourse to us.</w:t>
      </w:r>
    </w:p>
    <w:p>
      <w:pPr>
        <w:spacing w:after="0" w:line="14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In December 2024, one of our consolidated investment funds entered into a credit agreement with Northern Trust Global Service SE (the “Fund Credit Facility”). The Fund Credit Facility provides for a multi-currency revolving credit facility of up to $125.0 million. Amounts drawn under the facility must be repaid within 180 days. As of March 31, 2025, there were no outstanding borrowings on the Fund Credit Facility.</w:t>
      </w:r>
    </w:p>
    <w:p>
      <w:pPr>
        <w:spacing w:after="0" w:line="186" w:lineRule="exact"/>
        <w:rPr>
          <w:sz w:val="20"/>
          <w:szCs w:val="20"/>
          <w:color w:val="auto"/>
        </w:rPr>
      </w:pPr>
    </w:p>
    <w:p>
      <w:pPr>
        <w:ind w:right="300" w:firstLine="648"/>
        <w:spacing w:after="0" w:line="254" w:lineRule="auto"/>
        <w:rPr>
          <w:sz w:val="20"/>
          <w:szCs w:val="20"/>
          <w:color w:val="auto"/>
        </w:rPr>
      </w:pPr>
      <w:r>
        <w:rPr>
          <w:rFonts w:ascii="Times New Roman" w:cs="Times New Roman" w:eastAsia="Times New Roman" w:hAnsi="Times New Roman"/>
          <w:sz w:val="20"/>
          <w:szCs w:val="20"/>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Debt Covenants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us to maintain a total net leverage ratio, and a minimum total of fee-earning assets under management.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The Note Purchase Agreement contains certain covenants, including those requiring us to (a) maintain a total net leverage ratio, (b) maintain a minimum total of fee-earning assets under management, (c) cause at least 80% of all management fees payable by material subsidiaries to us to be collected each period without deferral, waiver or reduction, (d) limit the amount of secured indebtedness to be incurred by us,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1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2025, we were in compliance with the covenants under our various debt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20"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In June 2024, we issued 1,731,807 shares of Class A common stock to certain limited partners of the Partnership in exchange for 1,731,807 Class B units of the Partnership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71,766 shares of Class A common stock to certain limited partners of the Partnership in exchange for 71,766 Class C units of the Partnership pursuant to the Class C Exchange Agreement, and a corresponding number of Class A units of the partnership were issued to us.</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In September 2024, we conducted an underwritten public offering of 4,099,997 shares of Class A common stock at a public offering price of $50.00 per share. We used all of the net proceeds from the offering, after underwriting discounts and commissions and expenses, to purchase (i) 300,000 shares of our Class A common stock from certain selling stockholders, (ii) 3,094,981 Class B units of the Partnership from certain holders thereof, including certain of our directors and executive officers, and (iii) 705,016 Class C units of the Partnership from certain holders thereof. 3,094,981 shares of Class B common stock were automatically redeemed at par value and canceled in connection with such exchange and 3,799,997 Class A units of the Partnership were issued to us.</w:t>
      </w:r>
    </w:p>
    <w:p>
      <w:pPr>
        <w:spacing w:after="0" w:line="192"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20"/>
          <w:szCs w:val="20"/>
          <w:color w:val="auto"/>
        </w:rPr>
        <w:t>Also in September 2024, we issued 312,112 shares of Class A common stock to certain limited partners of the Partnership in exchange for 312,112 Class B units of the Partnership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34,027 shares of Class A common stock to certain limited partners of the Partnership in exchange for 34,027 Class C units of the Partnership pursuant to the Class C Exchange Agreement, and a corresponding number of Class A units of the partnership were issued to us.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In December 2024, we issued 2,354,788 shares of Class A common stock to certain limited partners of the Partnership in exchange for 2,354,788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75,642 shares of Class A common stock to certain limited partners of the Partnership in exchange for 75,642 Class C units of the Partnership in accordance with the elective exchange notices submitted pursuant to the Class C Exchange Agreement, and a corresponding number of Class A units of the Partnership were issued to us. We also issued 729,449 shares of Class A common stock to certain limited partners of the Partnership in exchange for 729,449 Class D units of the Partnership in accordance with the elective exchange notices submitted pursuant to the Class D Exchange Agreement, and a corresponding number of Class A units of the Partnership were issued to us.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March 2025, we issued 470,300 shares of Class A common stock to certain limited partners of the Partnership in exchange for</w:t>
      </w:r>
    </w:p>
    <w:p>
      <w:pPr>
        <w:spacing w:after="0" w:line="2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470,300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171,905 shares of Class A common stock to certain limited partners of the Partnership in exchange for 171,905 Class D units of the Partnership in accordance with the elective exchange notices submitted pursuant to the Class D Exchange Agreement, and a corresponding number of Class A units of the Partnership were issued to us.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Future Sources and Uses of Liquidity</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22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 xml:space="preserve">On May 22, 2025, we announced a quarterly cash dividend of $0.24 per share of Class A common stock and a supplemental cash dividend of $0.40 per share of Class A common stock, both payable on June 30, 2025 to holders of record as of the close of business on June 13, 2025. The quarterly cash dividend and supplemental cash dividend relate to earnings in respect of our fourth fiscal quarter and full fiscal year 2025, respectively. The declaration of this supplemental dividend does not guarantee that we will declare supplemental dividends in the future and our board of directors may, in its discretion, decrease the level of dividends or discontinue the payment of dividends entirely. </w:t>
      </w:r>
      <w:r>
        <w:rPr>
          <w:rFonts w:ascii="Times New Roman" w:cs="Times New Roman" w:eastAsia="Times New Roman" w:hAnsi="Times New Roman"/>
          <w:sz w:val="20"/>
          <w:szCs w:val="20"/>
          <w:color w:val="221F1F"/>
        </w:rPr>
        <w:t>See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21F1F"/>
        </w:rPr>
        <w:t>“Risk Factors—Risks Related to Our Organizational Structure—</w:t>
      </w:r>
      <w:r>
        <w:rPr>
          <w:rFonts w:ascii="Times New Roman" w:cs="Times New Roman" w:eastAsia="Times New Roman" w:hAnsi="Times New Roman"/>
          <w:sz w:val="20"/>
          <w:szCs w:val="20"/>
          <w:color w:val="000000"/>
        </w:rPr>
        <w:t>We currently pay dividends to our stockholders, but our ability to do so is</w:t>
      </w:r>
      <w:r>
        <w:rPr>
          <w:rFonts w:ascii="Times New Roman" w:cs="Times New Roman" w:eastAsia="Times New Roman" w:hAnsi="Times New Roman"/>
          <w:sz w:val="20"/>
          <w:szCs w:val="20"/>
          <w:color w:val="221F1F"/>
        </w:rPr>
        <w:t xml:space="preserve"> </w:t>
      </w:r>
      <w:r>
        <w:rPr>
          <w:rFonts w:ascii="Times New Roman" w:cs="Times New Roman" w:eastAsia="Times New Roman" w:hAnsi="Times New Roman"/>
          <w:sz w:val="20"/>
          <w:szCs w:val="20"/>
          <w:color w:val="000000"/>
        </w:rPr>
        <w:t>subject to the discretion of our board of directors and may be limited by our holding company structure and applicable provisions of Delaware law.”</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information regarding quarterly cash dividends on Class A common shares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2022</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2022</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2023</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FY2023</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13, 2024</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13,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14, 2025</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FY2025</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years 2023 and 2024, respectively.</w:t>
      </w:r>
    </w:p>
    <w:p>
      <w:pPr>
        <w:spacing w:after="0" w:line="202"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Tax Receivable Agreements</w:t>
      </w:r>
    </w:p>
    <w:p>
      <w:pPr>
        <w:spacing w:after="0" w:line="2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We have entered into an Exchanges Tax Receivable Agreement with the Class B limited partners, Class C limited partners, and Class D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Capital Requirements of Regulated Entities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We are required to maintain minimum net capital balances for regulatory purposes in the United States and certain non-U.S. jurisdictions in which we do business. These net capital requirements are met by retaining cash and cash equivalents in those jurisdictions. As a result, we may be restricted in our ability to transfer cash between different operating entities and jurisdictions. As of March 31, 2025, we were required to maintain approximately $25.1 million in net capital at these subsidiaries and were in compliance with all regulatory minimum net capital requirements.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Option Agreement Payment</w:t>
      </w:r>
    </w:p>
    <w:p>
      <w:pPr>
        <w:spacing w:after="0" w:line="220"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19"/>
          <w:szCs w:val="19"/>
          <w:color w:val="auto"/>
        </w:rPr>
        <w:t>In November 2022, we entered into arrangements with the SPW management team (the “Private Wealth Transaction”) under which certain members of the SPW team received a profits interest in SPW and concurrently entered into an option agreement which provides that</w:t>
      </w:r>
    </w:p>
    <w:p>
      <w:pPr>
        <w:spacing w:after="0" w:line="1" w:lineRule="exact"/>
        <w:rPr>
          <w:sz w:val="20"/>
          <w:szCs w:val="20"/>
          <w:color w:val="auto"/>
        </w:rPr>
      </w:pPr>
    </w:p>
    <w:p>
      <w:pPr>
        <w:ind w:right="140" w:firstLine="8"/>
        <w:spacing w:after="0" w:line="249" w:lineRule="auto"/>
        <w:tabs>
          <w:tab w:leader="none" w:pos="23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up to 75% of the consideration in units of the Partnership, each to be exchangeable into shares of our Class A common stock, and, in either case, rights under one or more tax receivable agreements. As of March 31, 2025, based on the fair value of the liability classified awards, the estimated minimum and maximum amount of cash that would be potentially payable to settle the liability under the Private Wealth Transaction was $165.3 million and $661.1 million, respectively. The assumptions used in the fair value analysis are inherently subjective; therefore, the ultimate settlement amount for the liability classified awards may differ materially from the current estimate.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the ordinary course of business, we enter into contractual arrangements that require future cash payments.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information regarding our anticipated future cash payments under our contractual obligations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2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Years 1-3</w:t>
            </w:r>
          </w:p>
        </w:tc>
        <w:tc>
          <w:tcPr>
            <w:tcW w:w="22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Years 3-5</w:t>
            </w: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3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150,170</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31,502</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72,308</w:t>
            </w: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on debt obligations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commitments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124,983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124,983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commitments in legacy Greenspring funds</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672,985</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205,951</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333,124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72,308</w:t>
            </w:r>
          </w:p>
        </w:tc>
      </w:tr>
      <w:tr>
        <w:trPr>
          <w:trHeight w:val="21"/>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jc w:val="both"/>
        <w:ind w:left="660" w:right="280" w:hanging="652"/>
        <w:spacing w:after="0" w:line="250"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office space and certain office equipment under agreements that expire periodically through 2039. The table only includes guaranteed minimum lease payments under these agreements, including leases signed but not yet commenced at the period end, and does not project other lease-related payments.</w:t>
      </w:r>
    </w:p>
    <w:p>
      <w:pPr>
        <w:spacing w:after="0" w:line="1"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presented in the table relate to the Revolver and Notes, which have maturity dates of May 16, 2029 and October 22, 2029, respectively. The balance outstanding under the Revolver as of March 31, 2025 has been presented as an obligation payable in the years 3-5 column as there are no scheduled or required principal payments on the Revolver until the maturity date on May 16, 2029. The balance outstanding under the Notes as of March 31, 2025 has been presented as an obligation payable in the years 3-5 column as there are no scheduled or required principal payments on the Notes until the maturity date on October 22, 2029.</w:t>
      </w:r>
    </w:p>
    <w:p>
      <w:pPr>
        <w:spacing w:after="0" w:line="1" w:lineRule="exact"/>
        <w:rPr>
          <w:rFonts w:ascii="Times New Roman" w:cs="Times New Roman" w:eastAsia="Times New Roman" w:hAnsi="Times New Roman"/>
          <w:sz w:val="18"/>
          <w:szCs w:val="18"/>
          <w:color w:val="auto"/>
        </w:rPr>
      </w:pPr>
    </w:p>
    <w:p>
      <w:pPr>
        <w:jc w:val="both"/>
        <w:ind w:left="660" w:right="300" w:hanging="652"/>
        <w:spacing w:after="0" w:line="265" w:lineRule="auto"/>
        <w:tabs>
          <w:tab w:leader="none" w:pos="65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debt obligations consists of projected future interest payments for amounts drawn on the Revolver using interest rates in effect as of March 31, 2025 and semi-annual interest payments for the aggregate principal amount of the Notes using the coupon rate of 5.52%, which has been calculated assuming no additional principal payments will be made and the outstanding balance will be held until its final maturity date.</w:t>
      </w:r>
    </w:p>
    <w:p>
      <w:pPr>
        <w:ind w:left="660" w:right="2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These projected interest payments may differ in the future based on the balances outstanding on the Revolver and Notes, respectively, as well as changes in market interest rates for the Revolver.</w:t>
      </w:r>
    </w:p>
    <w:p>
      <w:pPr>
        <w:ind w:left="660" w:hanging="652"/>
        <w:spacing w:after="0" w:line="250"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 represent our obligations to provide general partner capital funding to the StepStone Funds. These amounts are generally due on demand, and accordingly, have been presented as obligations payable in the less than 1 year column. Capital commitments are expected to be called over a period of several years.</w:t>
      </w:r>
    </w:p>
    <w:p>
      <w:pPr>
        <w:spacing w:after="0" w:line="1" w:lineRule="exact"/>
        <w:rPr>
          <w:rFonts w:ascii="Times New Roman" w:cs="Times New Roman" w:eastAsia="Times New Roman" w:hAnsi="Times New Roman"/>
          <w:sz w:val="18"/>
          <w:szCs w:val="18"/>
          <w:color w:val="auto"/>
        </w:rPr>
      </w:pPr>
    </w:p>
    <w:p>
      <w:pPr>
        <w:ind w:left="660" w:right="160" w:hanging="652"/>
        <w:spacing w:after="0" w:line="251"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Greenspring acquisition, we, indirectly through our subsidiaries, became the sole and/or managing member of certain entities, each of which is the general partner of an investment fund (“legacy Greenspring general partner entities”). We did not acquire any direct economic interests attributable to the legacy Greenspring general partner entities, including legacy Greenspring investments in funds and carried interest allocations. We determined that the legacy Greenspring general partner entities are VIEs and that we are the primary beneficiary of each such entity because we have a controlling financial interest in each entity. As a result, we consolidate these entities. Capital commitments in legacy Greenspring funds represent our obligations to provide general partner capital funding in legacy Greenspring funds for which we do not hold any direct economic interests. These amounts are generally due on demand, and accordingly, have been presented as obligations payable in the less than 1 year column. Capital commitments are expected to be called over a period of several years.</w:t>
      </w:r>
    </w:p>
    <w:p>
      <w:pPr>
        <w:spacing w:after="0" w:line="189"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The payments that we are required to make under the Tax Receivable Agreements are expected to be substantial and are not reflected in the contractual obligations table set forth above as they are dependent upon future taxable income.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20"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0"/>
          <w:szCs w:val="20"/>
          <w:color w:val="auto"/>
        </w:rPr>
        <w:t>We do not have any off-balance sheet arrangements that would expose us to any liability or require us to fund losses or guarantee target returns to clients in our funds that are not reflected in our consolidated financial statements. See notes 4 and 16, respectively, to our consolidated financial statements included in Part II, Item 8 of this annual report for information on variable interest entities and commitments and contingencies.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220" w:lineRule="exact"/>
        <w:rPr>
          <w:sz w:val="20"/>
          <w:szCs w:val="20"/>
          <w:color w:val="auto"/>
        </w:rPr>
      </w:pPr>
    </w:p>
    <w:p>
      <w:pPr>
        <w:ind w:right="240" w:firstLine="648"/>
        <w:spacing w:after="0" w:line="252" w:lineRule="auto"/>
        <w:rPr>
          <w:sz w:val="20"/>
          <w:szCs w:val="20"/>
          <w:color w:val="auto"/>
        </w:rPr>
      </w:pPr>
      <w:r>
        <w:rPr>
          <w:rFonts w:ascii="Times New Roman" w:cs="Times New Roman" w:eastAsia="Times New Roman" w:hAnsi="Times New Roman"/>
          <w:sz w:val="20"/>
          <w:szCs w:val="20"/>
          <w:color w:val="auto"/>
        </w:rPr>
        <w:t>We prepare our consolidated financial statements in accordance with GAAP. In applying many of these accounting principles, we need to make assumptions, estimates and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 We believe the following critical accounting policies could potentially produce materially different results if we were to change underlying assumptions, estimates or judgments. See note 2 to our consolidated financial statements included in Part II, Item 8 of this annual report for a summary of our significant accounting policies.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We consolidate all entities that we control through a majority voting interest or as the primary beneficiary of a variable interest entity (“VIE”). We use, and expect to continue to use, a combination of our equity ownership, governance rights and other contractual arrangements to control operations of these entities. However, these arrangements may not be as effective in providing us with control over these operations as would wholly owning these entities. See note 4 to our consolidated financial statements included in Part II, Item 8 of this annual report for information on variable interest entities.</w:t>
      </w:r>
    </w:p>
    <w:p>
      <w:pPr>
        <w:spacing w:after="0" w:line="173"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Under the VIE model, we are required to perform an analysis as to whether we have a variable interest in an entity and whether the entity is a VIE. In evaluating whether we hold a variable interest, we review all of our financial relationships to determine whether we are exposed to the risks and rewards created and distributed by an entity. We hold variable interests in certain operating subsidiaries not wholly-owned by us and in the StepStone Funds in which we serve as the general partner or managing member. We also assess whether the fees received from the StepStone Funds as a decision maker or in exchange for services (including management fees, incentive fees and carried interest allocations) are customary and commensurate with the level of effort required to provide the services. We consider all economic interests, including indirect interests, to determine if a fee is considered a variable interest. We determined our fee arrangements with the StepStone Funds are not considered to be variable interests.</w:t>
      </w:r>
    </w:p>
    <w:p>
      <w:pPr>
        <w:spacing w:after="0" w:line="19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If we have a variable interest in an entity, we further assess whether the entity is a VIE and, if so, whether we are the primary beneficiary. Entities that do not qualify as VIEs are assessed for consolidation under the voting interest model. The assessment of whether an entity is a VIE requires an evaluation of qualitative factors and, where applicable, quantitative factors. These judgments include: (a) determining whether the entity has sufficient equity at risk, (b) evaluating whether the equity holders, as a group, lack the ability to make decisions that significantly affect the economic performance of the entity and (c) determining whether the entity is structured with disproportionate voting rights in relation to their equity interests.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9"/>
          <w:szCs w:val="19"/>
          <w:color w:val="auto"/>
        </w:rPr>
        <w:t>For entities that are determined to be VIEs, we are required to consolidate those entities where we have concluded that we are the primary beneficiary. The primary beneficiary is defined as the variable interest holder with (a) the power to direct the activities of a VIE that most significantly affect the entity’s economic performance and (b) the obligation to absorb losses of the entity or the right to receive benefits from the entity that could potentially be significant to the VIE. In evaluating whether we are the primary beneficiary, we evaluate our economic interests in the entity held either directly or indirectly by us. At each reporting date, we determine whether any reconsideration events have occurred that require us to revisit the primary beneficiary analysis, and we will consolidate or deconsolidate accordingly.</w:t>
      </w:r>
    </w:p>
    <w:p>
      <w:pPr>
        <w:spacing w:after="0" w:line="16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We provide investment advisory services to the StepStone Funds, which have third-party investors. Certain StepStone Funds are VIEs because they have not granted the third-party investors substantive rights to terminate or remove the general partner or participating rights. We do not consolidate most of the StepStone Funds that are VIEs because we are not the primary beneficiary of those funds, primarily because our fee arrangements are considered customary and commensurate and thus not deemed to be variable interests, and we do not hold any other interests in those funds that are considered more than insignificant. We consolidate certain of our operating subsidiaries that are VIEs because we are the primary beneficiary.</w:t>
      </w:r>
    </w:p>
    <w:p>
      <w:pPr>
        <w:spacing w:after="0" w:line="192"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The Consolidated Funds comprise certain entities that constitute client investment funds that we manage or control and have been consolidated in the accompanying consolidated financial statements. Including the results of the Consolidated Funds increases the reported amounts of the assets, liabilities, expenses and cash flows in the accompanying consolidated financial statements, and amounts related to economic interests held by third-party investors are reflected as redeemable non-controlling interests in Consolidated Funds. The revenues earned by us as investment manager of the Consolidated Funds are eliminated in consolidation and generally have no direct effect on the net income attributable to SSG or to Stockholders' Equity.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33"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We recognize revenue in accordance with ASC 606. Revenue is recognized in a manner that depicts the transfer of promised goods or services to customers and for an amount that reflects the consideration to which we expect to be entitled in exchange for those goods or services. The application of ASC 606 requires us to identify our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We have elected to apply the variable consideration allocation exception for our fee arrangements with our customers.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We recognize management and advisory fee revenues when control of the promised services is transferred to customers, in an amount that reflects the consideration that we expect to receive in exchange for those services. For asset management services and the arrangement of administrative services, we satisfy these performance obligations over time because the customer simultaneously receives and consumes the benefits of the services as they are performed. Advisory fees from contracts where we do not have discretion over investment decisions are generally based on fixed amounts and typically billed quarterly. Management fees are reflected net of certain professional and administrative services and distribution and servicing fees paid to third parties for which we are acting as an agent. Management fees include income-based incentive fees, which are based on net investment income of certain funds.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earn two types of performance fee revenues: incentive fees and carried interest allocations, as described below.</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8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us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unaffiliated 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We account for our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86"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Legacy Greenspring carried interest allocations </w:t>
      </w:r>
      <w:r>
        <w:rPr>
          <w:rFonts w:ascii="Times New Roman" w:cs="Times New Roman" w:eastAsia="Times New Roman" w:hAnsi="Times New Roman"/>
          <w:sz w:val="20"/>
          <w:szCs w:val="20"/>
          <w:color w:val="auto"/>
        </w:rPr>
        <w:t>include the allocation of carried interest to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it is presumed to have significant influence as the general partner or managing member. Accordingly, legacy Greenspring carried interest allocations are not deemed to be within the scope of ASC 606. We do not hold any direct economic interests in the legacy Greenspring general partner entities and thus are not entitled to any carried interest allocation from the legacy funds. All of the carried interest allocations in respect of the legacy Greenspring funds are payable to employees who are considered affiliates to us and are therefore reflected as legacy Greenspring performance fee-related compensation in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recognize revenue attributable to carried interest allocations from a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receivable, which is included as a component of investments in the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19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0"/>
          <w:szCs w:val="20"/>
          <w:color w:val="auto"/>
        </w:rPr>
        <w:t>Carried interest is generally realized when an underlying investment is profitably disposed of and the fund’s cumulative returns are in excess of the specific hurdle rates, as defined in the applicable governing documents. Carried interest is generally subject to reversal to the extent that the amount received to date exceeds the amount due to us based on cumulative results. As such, a liability is accrued for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20"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57"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46" w:lineRule="exact"/>
        <w:rPr>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w:t>
      </w:r>
    </w:p>
    <w:p>
      <w:pPr>
        <w:spacing w:after="0" w:line="229" w:lineRule="exact"/>
        <w:rPr>
          <w:rFonts w:ascii="Times New Roman" w:cs="Times New Roman" w:eastAsia="Times New Roman" w:hAnsi="Times New Roman"/>
          <w:sz w:val="20"/>
          <w:szCs w:val="20"/>
          <w:color w:val="auto"/>
        </w:rPr>
      </w:pPr>
    </w:p>
    <w:p>
      <w:pPr>
        <w:ind w:left="660" w:right="120" w:hanging="328"/>
        <w:spacing w:after="0" w:line="258"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72" w:lineRule="exact"/>
        <w:rPr>
          <w:rFonts w:ascii="Times New Roman" w:cs="Times New Roman" w:eastAsia="Times New Roman" w:hAnsi="Times New Roman"/>
          <w:sz w:val="20"/>
          <w:szCs w:val="20"/>
          <w:color w:val="auto"/>
        </w:rPr>
      </w:pPr>
    </w:p>
    <w:p>
      <w:pPr>
        <w:ind w:left="660" w:right="380" w:hanging="328"/>
        <w:spacing w:after="0" w:line="261"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consideration of factors specific to the financial instrument.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7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We consider our cash, cash equivalents, restricted cash, fees and accounts receivable, accounts payable, investments, notes payable, revolving credit facility, and contingent consideration balance to be financial instruments. The carrying amounts of cash, cash equivalents, restricted cash, fees and accounts receivable and accounts payable equal or approximate their fair values due to their nature and/or the relatively short period over which they are held. See note 6 to our consolidated financial statements for additional details regarding the fair value of our contingent consideration balance and note 9 for additional details regarding the fair value of our notes payable and revolving credit facility balances.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Equity-Based Compensation</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We account for grants of equity-based awards, including service-based RSUs and performance-based RSUs (“PRSUs”), to certain employees and directors at fair value as of the grant date. We recognize non-cash compensation expense attributable to these grants on a straight-line basis over the requisite service and performance period, which is generally the vesting period. Expense related to grants of PRSUs is recognized only to the extent the performance condition is achieved, and the estimated quantity of awards for which it is probable that the performance condition will be achieved is reevaluated each reporting period. Expense related to grants of equity-based awards is recognized as equity-based compensation expense in the consolidated statements of income (loss). The fair value of RSUs and PRSUs is determined by the closing stock price on the grant date. Forfeitures of equity-based awards are recognized as they occur. Awards classified as liabilities are remeasured at the end of each reporting period until settlement. Equity-based compensation cost for the employee stock purchase plan (“ESPP”) is measured as the discount the employee receives upon purchase of shares and the option value of a share when the offering contains a look-back option feature. See note 10 to our consolidated financial statements for additional information regarding our accounting for equity-based awards.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Performance Fee-Related Compensation</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A portion of the carried interest allocation revenue and incentive fees we earn is awarded to employees and other carry participants in the form of award letters (“carry awards”) as a form of long-term incentive compensation. Performance fee-related compensation is generally tied to the investment performance of the StepStone Funds. Approximately 50% of carried interest allocation revenue is awarded to employees and other participants as part of our long-term incentive compensation plan, fostering alignment of interest with our clients and investors, and retaining key investment professionals. Carry awards to employees and other participants are accounted for as a component of compensation and benefits expense in conjunction with our recognition of the related realized and unrealized carried interest allocation revenue and, until paid, is recorded as accrued carried interest-related compensation in the consolidated balance sheets. Upon a reversal of carried interest allocation revenue, the related compensation expense, if any, is also reversed. Liabilities recognized for carried interest-related compensation amounts due to affiliates are not paid until the related carried interest allocation revenue is realized. Incentive fee-related compensation is accrued as performance fee-related compensation expense when it is probable and estimable that payment will be made. The incentive fee-related compensation accrual is based on a number of factors, including the cumulative activity for the period and the distribution of the net proceeds in accordance with the applicable governing agreement. </w:t>
      </w:r>
      <w:r>
        <w:rPr>
          <w:rFonts w:ascii="Times New Roman" w:cs="Times New Roman" w:eastAsia="Times New Roman" w:hAnsi="Times New Roman"/>
          <w:sz w:val="20"/>
          <w:szCs w:val="20"/>
          <w:color w:val="231F20"/>
        </w:rPr>
        <w:t>On April 1, 2024, certain of our non-wholly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 The class of interests relating to awards of carried interest allocations granted to employees were previously presented as carried interest-related compensation expense.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2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(loss). As a result, the Partnership does not record U.S. federal and state income taxes on income in the Partnership or its subsidiaries, except for certain local and foreign income taxes discussed above.</w:t>
      </w:r>
    </w:p>
    <w:p>
      <w:pPr>
        <w:spacing w:after="0" w:line="18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consolidated balance sheets. The principal items giving rise to temporary differences are certain basis differences resulting from exchanges of Partnership units. See Tax Receivable Agreements below.</w:t>
      </w:r>
    </w:p>
    <w:p>
      <w:pPr>
        <w:spacing w:after="0" w:line="178"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our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We are subject to the provisions of ASC Subtopic 740-10, </w:t>
      </w:r>
      <w:r>
        <w:rPr>
          <w:rFonts w:ascii="Times New Roman" w:cs="Times New Roman" w:eastAsia="Times New Roman" w:hAnsi="Times New Roman"/>
          <w:sz w:val="20"/>
          <w:szCs w:val="20"/>
          <w:i w:val="1"/>
          <w:iCs w:val="1"/>
          <w:color w:val="auto"/>
        </w:rPr>
        <w:t>Accounting for Uncertainty in Income Taxes</w:t>
      </w:r>
      <w:r>
        <w:rPr>
          <w:rFonts w:ascii="Times New Roman" w:cs="Times New Roman" w:eastAsia="Times New Roman" w:hAnsi="Times New Roman"/>
          <w:sz w:val="20"/>
          <w:szCs w:val="20"/>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We recognize interest and penalties, if any, related to unrecognized tax benefits as interest expense and general, administrative and other expenses, respectively, in the consolidated statements of income (loss). See note 11 to our consolidated financial statements for more information.</w:t>
      </w:r>
    </w:p>
    <w:p>
      <w:pPr>
        <w:spacing w:after="0" w:line="178"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earned by foreign subsidiaries in the period the tax is incurred.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tax expense and in evaluating tax positions, including evaluating uncertainties under GAAP.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review our tax positions quarterly and adjust our tax balances as new information becomes available.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33"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20"/>
          <w:szCs w:val="20"/>
          <w:color w:val="auto"/>
        </w:rPr>
        <w:t>The Tax Receivable Agreements provide for payment by SSG to the Class B limited partners, Class C limited partners, Class D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 In connection with the Greenspring acquisition, the sellers receiving Class C units of the Partnership became parties to the Exchanges Tax Receivable Agreement and in connection with the closings under the Transaction Agreements for SRA and SRE, the sellers receiving Class D units of the Partnership became parties to the Exchanges Tax Receivable Agreement. See note 14 to our consolidated financial statements for more information.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Recent Accounting Developments</w:t>
      </w:r>
    </w:p>
    <w:p>
      <w:pPr>
        <w:spacing w:after="0" w:line="233"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Information regarding recent accounting developments and their effects to us can be found in note 2 to our consolidated financial statements included in Part II, Item 8 of this annual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20"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0"/>
          <w:szCs w:val="20"/>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2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Our management fee and advisory fee revenue is only marginally affected by changes in investment values because our management fees are generally based on commitments or net invested capital and our advisory fees are fixed. As of March 31, 2025 and 2024, NAV-based management fees represented approximately 14% and 9%, respectively, of total net management and advisory fees. We estimate that a 10% decline in market values of the investments held in our funds as of March 31, 2025 and 2024 would result in an approximate decrease to annual management fees of $11.2 million and $5.8 million, respectively.</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1" w:lineRule="exact"/>
        <w:rPr>
          <w:sz w:val="20"/>
          <w:szCs w:val="20"/>
          <w:color w:val="auto"/>
        </w:rPr>
      </w:pPr>
    </w:p>
    <w:p>
      <w:pPr>
        <w:ind w:left="660" w:right="140" w:hanging="328"/>
        <w:spacing w:after="0" w:line="258"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March 31, 2025 and 2024, we had $22.3 million and $20.5 million, respectively, of deferred incentive fee revenue recorded in accounts payable, accrued expenses and other liabilities in the consolidated balance sheets.</w:t>
      </w:r>
    </w:p>
    <w:p>
      <w:pPr>
        <w:spacing w:after="0" w:line="172" w:lineRule="exact"/>
        <w:rPr>
          <w:rFonts w:ascii="Times New Roman" w:cs="Times New Roman" w:eastAsia="Times New Roman" w:hAnsi="Times New Roman"/>
          <w:sz w:val="20"/>
          <w:szCs w:val="20"/>
          <w:color w:val="auto"/>
        </w:rPr>
      </w:pPr>
    </w:p>
    <w:p>
      <w:pPr>
        <w:ind w:left="660" w:hanging="328"/>
        <w:spacing w:after="0" w:line="249"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is paid to employees as carried interest-related compensation, the overall net impact to our income would be mitigated by lower compensation payments. As of March 31, 2025 and 2024, the maximum amount of carried interest allocations (excluding legacy Greenspring carried interest allocations) subject to contingent repayment, net of tax, was an estimated $355.0 million and $287.5 million, respectively, assuming the fair value of all investments was zero, a possibility that we view as remote. The primary driver for the change in the contingent repayment between periods is due to additional carried interest allocation realizations in fiscal 2025 that are potentially subject to clawback.</w:t>
      </w:r>
    </w:p>
    <w:p>
      <w:pPr>
        <w:spacing w:after="0" w:line="200" w:lineRule="exact"/>
        <w:rPr>
          <w:rFonts w:ascii="Times New Roman" w:cs="Times New Roman" w:eastAsia="Times New Roman" w:hAnsi="Times New Roman"/>
          <w:sz w:val="20"/>
          <w:szCs w:val="20"/>
          <w:color w:val="auto"/>
        </w:rPr>
      </w:pPr>
    </w:p>
    <w:p>
      <w:pPr>
        <w:ind w:left="660" w:right="520" w:hanging="328"/>
        <w:spacing w:after="0" w:line="258"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March 31, 2025 and 2024, we estimate that a 10% decline in fair value of the investments in funds would result in a decrease in investment income of $18.4 million and $13.5 million, respectively.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2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consolidated financial statements.</w:t>
      </w:r>
    </w:p>
    <w:p>
      <w:pPr>
        <w:spacing w:after="0" w:line="186"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9"/>
          <w:szCs w:val="19"/>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consolidated financial statements.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33"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As of March 31, 2025, we had $175.0 million in borrowings outstanding under our Notes and $100.0 million amount outstanding under our Revolver. As of March 31, 2024, we had $150.0 million in borrowings outstanding under our Revolver and no amount outstanding under our Notes. The Revolver accrues interest at a variable rate, and the Notes accrue interest at a fixed rate of 5.52%. As of March 31, 2025 and 2024, we estimate that interest expense would increase by $2.8 million and $1.5 million, respectively, on an annualized basis as a result of a 100 basis point increase in interest rates. Based on the $245.3 million and $144.1 million of cash, cash equivalents and restricted cash (excluding Consolidated Funds) as of March 31, 2025 and 2024, respectively, we estimate that interest income would increase 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 million and $1.4 million, respectively, on an annualized basis as a result of a 100 basis point increase in interest rates.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20"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10040" w:type="dxa"/>
            <w:vAlign w:val="bottom"/>
            <w:tcBorders>
              <w:top w:val="single" w:sz="8" w:color="auto"/>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6"/>
              </w:rPr>
              <w:t>132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March 31, 2025 and 2024</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136</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Income (Loss) for the Years Ended March 31, 2025, 2024 and 2023</w:t>
            </w:r>
          </w:p>
        </w:tc>
        <w:tc>
          <w:tcPr>
            <w:tcW w:w="3220" w:type="dxa"/>
            <w:vAlign w:val="bottom"/>
            <w:gridSpan w:val="4"/>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March 31, 2025, 2024 and 2023</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139</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3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March 31, 2025, 2024 and 2023</w:t>
            </w:r>
          </w:p>
        </w:tc>
        <w:tc>
          <w:tcPr>
            <w:tcW w:w="2740" w:type="dxa"/>
            <w:vAlign w:val="bottom"/>
            <w:gridSpan w:val="3"/>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March 31, 2025, 2024 and 2023</w:t>
            </w:r>
          </w:p>
        </w:tc>
        <w:tc>
          <w:tcPr>
            <w:tcW w:w="2740" w:type="dxa"/>
            <w:vAlign w:val="bottom"/>
            <w:gridSpan w:val="3"/>
          </w:tcPr>
          <w:p>
            <w:pPr>
              <w:spacing w:after="0"/>
              <w:rPr>
                <w:sz w:val="16"/>
                <w:szCs w:val="16"/>
                <w:color w:val="auto"/>
              </w:rPr>
            </w:pP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142</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StepStone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StepStone Group Inc. (the Company) as of March 31, 2025 and 2024, the related consolidated statements of income (loss), comprehensive income (loss), stockholders’ equity and cash flows for each of the three years in the period ended March 31, 2025, and the related notes (collectively referred to as the “consolidated financial statements”). In our opinion, the consolidated financial statements present fairly, in all material respects, the financial position of the Company at March 31, 2025 and 2024, and the results of its operations and its cash flows for each of the three years in the period ended March 31, 2025, in conformity with U.S. generally accepted accounting principles.</w:t>
      </w:r>
    </w:p>
    <w:p>
      <w:pPr>
        <w:spacing w:after="0" w:line="19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March 31, 2025, based on criteria established in Internal Control—Integrated Framework issued by the Committee of Sponsoring Organizations of the Treadway Commission (2013 framework), and our report dated May 23, 2025 expressed an unqualified opinion thereon.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2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Valuation of underlying investments of equity method investments</w:t>
      </w:r>
    </w:p>
    <w:p>
      <w:pPr>
        <w:spacing w:after="0" w:line="322" w:lineRule="exact"/>
        <w:rPr>
          <w:sz w:val="20"/>
          <w:szCs w:val="20"/>
          <w:color w:val="auto"/>
        </w:rPr>
      </w:pPr>
    </w:p>
    <w:p>
      <w:pPr>
        <w:ind w:left="2260" w:right="120" w:hanging="2226"/>
        <w:spacing w:after="0" w:line="258" w:lineRule="auto"/>
        <w:tabs>
          <w:tab w:leader="none" w:pos="22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The Company has investments in funds of $183.7 million and accrued carried interest allocations of $1,495.7 million as of March 31, 2025. As discussed in Notes 2 and 5 to the consolidated financial statements, a significant input to the measurement of the Company’s investments in funds and accrued carried interest allocations is management’s estimate of the fair value of investments held by the StepStone Funds, specifically investments that are valued using significant unobservable inputs classified as Level III within the fair value hierarchy.</w:t>
      </w:r>
    </w:p>
    <w:p>
      <w:pPr>
        <w:spacing w:after="0" w:line="199" w:lineRule="exact"/>
        <w:rPr>
          <w:sz w:val="20"/>
          <w:szCs w:val="20"/>
          <w:color w:val="auto"/>
        </w:rPr>
      </w:pPr>
    </w:p>
    <w:p>
      <w:pPr>
        <w:ind w:left="2260" w:right="780"/>
        <w:spacing w:after="0" w:line="282" w:lineRule="auto"/>
        <w:rPr>
          <w:sz w:val="20"/>
          <w:szCs w:val="20"/>
          <w:color w:val="auto"/>
        </w:rPr>
      </w:pPr>
      <w:r>
        <w:rPr>
          <w:rFonts w:ascii="Times New Roman" w:cs="Times New Roman" w:eastAsia="Times New Roman" w:hAnsi="Times New Roman"/>
          <w:sz w:val="18"/>
          <w:szCs w:val="18"/>
          <w:color w:val="auto"/>
        </w:rPr>
        <w:t>Auditing management’s determination of the fair value of Level III investments involved a high degree of auditor subjectivity because these investments exhibit higher estimation uncertainty.</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How We Addressed the Matter </w:t>
      </w: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p>
      <w:pPr>
        <w:ind w:left="2260" w:right="80" w:hanging="2226"/>
        <w:spacing w:after="0" w:line="266" w:lineRule="auto"/>
        <w:tabs>
          <w:tab w:leader="none" w:pos="2240" w:val="left"/>
        </w:tabs>
        <w:rPr>
          <w:sz w:val="20"/>
          <w:szCs w:val="20"/>
          <w:color w:val="auto"/>
        </w:rPr>
      </w:pPr>
      <w:r>
        <w:rPr>
          <w:rFonts w:ascii="Times New Roman" w:cs="Times New Roman" w:eastAsia="Times New Roman" w:hAnsi="Times New Roman"/>
          <w:sz w:val="35"/>
          <w:szCs w:val="35"/>
          <w:i w:val="1"/>
          <w:iCs w:val="1"/>
          <w:color w:val="auto"/>
          <w:vertAlign w:val="superscript"/>
        </w:rPr>
        <w:t>in Our Audit</w:t>
      </w:r>
      <w:r>
        <w:rPr>
          <w:sz w:val="20"/>
          <w:szCs w:val="20"/>
          <w:color w:val="auto"/>
        </w:rPr>
        <w:tab/>
      </w:r>
      <w:r>
        <w:rPr>
          <w:rFonts w:ascii="Times New Roman" w:cs="Times New Roman" w:eastAsia="Times New Roman" w:hAnsi="Times New Roman"/>
          <w:sz w:val="18"/>
          <w:szCs w:val="18"/>
          <w:color w:val="auto"/>
        </w:rPr>
        <w:t>investment valuation process. This included management’s review controls over the assessment of the valuation techniques and significant unobservable inputs used to estimate the fair value and management’s review of the completeness and accuracy of the data used in these estimates.</w:t>
      </w:r>
    </w:p>
    <w:p>
      <w:pPr>
        <w:spacing w:after="0" w:line="210" w:lineRule="exact"/>
        <w:rPr>
          <w:sz w:val="20"/>
          <w:szCs w:val="20"/>
          <w:color w:val="auto"/>
        </w:rPr>
      </w:pPr>
    </w:p>
    <w:p>
      <w:pPr>
        <w:ind w:left="2260" w:right="560"/>
        <w:spacing w:after="0" w:line="312" w:lineRule="auto"/>
        <w:rPr>
          <w:sz w:val="20"/>
          <w:szCs w:val="20"/>
          <w:color w:val="auto"/>
        </w:rPr>
      </w:pPr>
      <w:r>
        <w:rPr>
          <w:rFonts w:ascii="Times New Roman" w:cs="Times New Roman" w:eastAsia="Times New Roman" w:hAnsi="Times New Roman"/>
          <w:sz w:val="17"/>
          <w:szCs w:val="17"/>
          <w:color w:val="auto"/>
        </w:rPr>
        <w:t>Our audit procedures included, among others, evaluating, on a sample basis, the valuation techniques and significant unobservable inputs used by the Company and testing the mathematical accuracy of the related valuation models.</w:t>
      </w:r>
    </w:p>
    <w:p>
      <w:pPr>
        <w:spacing w:after="0" w:line="140" w:lineRule="exact"/>
        <w:rPr>
          <w:sz w:val="20"/>
          <w:szCs w:val="20"/>
          <w:color w:val="auto"/>
        </w:rPr>
      </w:pPr>
    </w:p>
    <w:p>
      <w:pPr>
        <w:ind w:left="2260" w:right="60"/>
        <w:spacing w:after="0" w:line="258" w:lineRule="auto"/>
        <w:rPr>
          <w:sz w:val="20"/>
          <w:szCs w:val="20"/>
          <w:color w:val="auto"/>
        </w:rPr>
      </w:pPr>
      <w:r>
        <w:rPr>
          <w:rFonts w:ascii="Times New Roman" w:cs="Times New Roman" w:eastAsia="Times New Roman" w:hAnsi="Times New Roman"/>
          <w:sz w:val="18"/>
          <w:szCs w:val="18"/>
          <w:color w:val="auto"/>
        </w:rPr>
        <w:t>For example, for a sample of Level III fund investments, we performed procedures to evaluate the significant unobservable inputs such as the selected earnings before interest, taxes, depreciation and amortization multiples or revenue multiples that were derived from comparable companies. These procedures included assessing management’s determination of the comparable companies, and, where applicable, comparing the selected multiples to market observed transactions of such companies.</w:t>
      </w:r>
    </w:p>
    <w:p>
      <w:pPr>
        <w:spacing w:after="0" w:line="183" w:lineRule="exact"/>
        <w:rPr>
          <w:sz w:val="20"/>
          <w:szCs w:val="20"/>
          <w:color w:val="auto"/>
        </w:rPr>
      </w:pPr>
    </w:p>
    <w:p>
      <w:pPr>
        <w:ind w:left="2260"/>
        <w:spacing w:after="0" w:line="266" w:lineRule="auto"/>
        <w:rPr>
          <w:sz w:val="20"/>
          <w:szCs w:val="20"/>
          <w:color w:val="auto"/>
        </w:rPr>
      </w:pPr>
      <w:r>
        <w:rPr>
          <w:rFonts w:ascii="Times New Roman" w:cs="Times New Roman" w:eastAsia="Times New Roman" w:hAnsi="Times New Roman"/>
          <w:sz w:val="18"/>
          <w:szCs w:val="18"/>
          <w:color w:val="auto"/>
        </w:rPr>
        <w:t>We considered and evaluated information that corroborated or contradicted the significant unobservable inputs or concluded fair value. We also evaluated subsequent events and transactions and considered whether they corroborated or contradicted the year-end valuations.</w:t>
      </w:r>
    </w:p>
    <w:p>
      <w:pPr>
        <w:spacing w:after="0" w:line="176" w:lineRule="exact"/>
        <w:rPr>
          <w:sz w:val="20"/>
          <w:szCs w:val="20"/>
          <w:color w:val="auto"/>
        </w:rPr>
      </w:pPr>
    </w:p>
    <w:p>
      <w:pPr>
        <w:ind w:left="2260" w:right="260"/>
        <w:spacing w:after="0" w:line="282" w:lineRule="auto"/>
        <w:rPr>
          <w:sz w:val="20"/>
          <w:szCs w:val="20"/>
          <w:color w:val="auto"/>
        </w:rPr>
      </w:pPr>
      <w:r>
        <w:rPr>
          <w:rFonts w:ascii="Times New Roman" w:cs="Times New Roman" w:eastAsia="Times New Roman" w:hAnsi="Times New Roman"/>
          <w:sz w:val="18"/>
          <w:szCs w:val="18"/>
          <w:color w:val="auto"/>
        </w:rPr>
        <w:t>Finally, we involved more senior, more experienced audit team members to perform audit procedures related to Level III investments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23,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StepStone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have audited StepStone Group Inc.’s internal control over financial reporting as of March 31, 2025, based on criteria established in Internal Control—Integrated Framework issued by the Committee of Sponsoring Organizations of the Treadway Commission (2013 framework) (the COSO criteria). In our opinion, StepStone Group Inc. (the Company) maintained, in all material respects, effective internal control over financial reporting as of March 31, 2025, based on the COSO criteria.</w:t>
      </w:r>
    </w:p>
    <w:p>
      <w:pPr>
        <w:spacing w:after="0" w:line="18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March 31, 2025 and 2024, the related consolidated statements of income (loss), comprehensive income (loss), stockholders’ equity and cash flows for each of the three years in the period ended March 31, 2025, and the related notes and our report dated May 23, 2025 expressed an unqualified opinion thereon.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w:t>
      </w:r>
    </w:p>
    <w:p>
      <w:pPr>
        <w:spacing w:after="0" w:line="200" w:lineRule="exact"/>
        <w:rPr>
          <w:sz w:val="20"/>
          <w:szCs w:val="20"/>
          <w:color w:val="auto"/>
        </w:rPr>
      </w:pPr>
    </w:p>
    <w:p>
      <w:pPr>
        <w:ind w:right="500"/>
        <w:spacing w:after="0" w:line="310"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23, 2025</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As of March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2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244,791</w:t>
            </w:r>
          </w:p>
        </w:tc>
        <w:tc>
          <w:tcPr>
            <w:tcW w:w="100" w:type="dxa"/>
            <w:vAlign w:val="bottom"/>
          </w:tcPr>
          <w:p>
            <w:pPr>
              <w:spacing w:after="0"/>
              <w:rPr>
                <w:sz w:val="14"/>
                <w:szCs w:val="14"/>
                <w:color w:val="auto"/>
              </w:rPr>
            </w:pPr>
          </w:p>
        </w:tc>
        <w:tc>
          <w:tcPr>
            <w:tcW w:w="50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143,430</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and accounts receivable</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80,871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56,769</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92,723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67,531</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in funds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183,694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135,043</w:t>
            </w:r>
          </w:p>
        </w:tc>
        <w:tc>
          <w:tcPr>
            <w:tcW w:w="0" w:type="dxa"/>
            <w:vAlign w:val="bottom"/>
          </w:tcPr>
          <w:p>
            <w:pPr>
              <w:spacing w:after="0"/>
              <w:rPr>
                <w:sz w:val="1"/>
                <w:szCs w:val="1"/>
                <w:color w:val="auto"/>
              </w:rPr>
            </w:pPr>
          </w:p>
        </w:tc>
      </w:tr>
      <w:tr>
        <w:trPr>
          <w:trHeight w:val="170"/>
        </w:trPr>
        <w:tc>
          <w:tcPr>
            <w:tcW w:w="8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carried interest allocations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1,495,664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1,354,051</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investments in funds and accrued carried interest allocations</w:t>
            </w:r>
            <w:r>
              <w:rPr>
                <w:rFonts w:ascii="Times New Roman" w:cs="Times New Roman" w:eastAsia="Times New Roman" w:hAnsi="Times New Roman"/>
                <w:sz w:val="16"/>
                <w:szCs w:val="16"/>
                <w:color w:val="auto"/>
                <w:vertAlign w:val="superscript"/>
              </w:rPr>
              <w:t>(1)</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629,228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631,197</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382,886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184,512</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right-of-use assets, net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91,841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97,763</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and receivables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62,869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60,611</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Intangibles, net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263,872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304,873</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Assets of Consolidated Funds: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44,511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38,164</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415,011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131,858</w:t>
            </w:r>
          </w:p>
        </w:tc>
        <w:tc>
          <w:tcPr>
            <w:tcW w:w="0" w:type="dxa"/>
            <w:vAlign w:val="bottom"/>
          </w:tcPr>
          <w:p>
            <w:pPr>
              <w:spacing w:after="0"/>
              <w:rPr>
                <w:sz w:val="1"/>
                <w:szCs w:val="1"/>
                <w:color w:val="auto"/>
              </w:rPr>
            </w:pPr>
          </w:p>
        </w:tc>
      </w:tr>
      <w:tr>
        <w:trPr>
          <w:trHeight w:val="17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17,688</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0" w:type="dxa"/>
            <w:vAlign w:val="bottom"/>
          </w:tcPr>
          <w:p>
            <w:pPr>
              <w:spacing w:after="0"/>
              <w:rPr>
                <w:sz w:val="1"/>
                <w:szCs w:val="1"/>
                <w:color w:val="auto"/>
              </w:rPr>
            </w:pPr>
          </w:p>
        </w:tc>
      </w:tr>
      <w:tr>
        <w:trPr>
          <w:trHeight w:val="194"/>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86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4,586,693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3,788,807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86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89,731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127,417</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736,695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101,481</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carried interest-related compensation</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757,968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719,497</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accrued carried interest-related compensation</w:t>
            </w:r>
            <w:r>
              <w:rPr>
                <w:rFonts w:ascii="Times New Roman" w:cs="Times New Roman" w:eastAsia="Times New Roman" w:hAnsi="Times New Roman"/>
                <w:sz w:val="16"/>
                <w:szCs w:val="16"/>
                <w:color w:val="auto"/>
                <w:vertAlign w:val="superscript"/>
              </w:rPr>
              <w:t>(1)</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495,739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484,154</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331,821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212,918</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113,519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119,739</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obligations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269,268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148,822</w:t>
            </w:r>
          </w:p>
        </w:tc>
        <w:tc>
          <w:tcPr>
            <w:tcW w:w="0" w:type="dxa"/>
            <w:vAlign w:val="bottom"/>
          </w:tcPr>
          <w:p>
            <w:pPr>
              <w:spacing w:after="0"/>
              <w:rPr>
                <w:sz w:val="1"/>
                <w:szCs w:val="1"/>
                <w:color w:val="auto"/>
              </w:rPr>
            </w:pPr>
          </w:p>
        </w:tc>
      </w:tr>
      <w:tr>
        <w:trPr>
          <w:trHeight w:val="171"/>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Liabilities of Consolidated Funds: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liabilities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17,580</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0" w:type="dxa"/>
            <w:vAlign w:val="bottom"/>
          </w:tcPr>
          <w:p>
            <w:pPr>
              <w:spacing w:after="0"/>
              <w:rPr>
                <w:sz w:val="1"/>
                <w:szCs w:val="1"/>
                <w:color w:val="auto"/>
              </w:rPr>
            </w:pPr>
          </w:p>
        </w:tc>
      </w:tr>
      <w:tr>
        <w:trPr>
          <w:trHeight w:val="163"/>
        </w:trPr>
        <w:tc>
          <w:tcPr>
            <w:tcW w:w="826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Total liabilities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2,812,321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1,915,673</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15)</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Consolidated Funds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377,897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102,623</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subsidiaries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115,920</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6"/>
              </w:rPr>
              <w:t>Class A common stock, $0.001 par value, 650,000,000 authorized; 76,761,399 and 65,614,902 issued and outstanding as of March 31, 2025 and 2024, respectively</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6"/>
              </w:rPr>
              <w:t>Class B common stock, $0.001 par value, 125,000,000 authorized; 39,656,954 and 45,030,959 issued and outstanding as of March 31, 2025 and 2024, respectively</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421,057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310,293</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Retained earnings (accumulated deficit)</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(242,546)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13,768</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0" w:type="dxa"/>
            <w:vAlign w:val="bottom"/>
          </w:tcPr>
          <w:p>
            <w:pPr>
              <w:spacing w:after="0"/>
              <w:rPr>
                <w:sz w:val="1"/>
                <w:szCs w:val="1"/>
                <w:color w:val="auto"/>
              </w:rPr>
            </w:pPr>
          </w:p>
        </w:tc>
      </w:tr>
      <w:tr>
        <w:trPr>
          <w:trHeight w:val="163"/>
        </w:trPr>
        <w:tc>
          <w:tcPr>
            <w:tcW w:w="82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StepStone Group Inc. stockholders’ equity</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179,356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324,476</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1,056,510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974,559</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Non-controlling interests in legacy Greenspring entities</w:t>
            </w:r>
            <w:r>
              <w:rPr>
                <w:rFonts w:ascii="Times New Roman" w:cs="Times New Roman" w:eastAsia="Times New Roman" w:hAnsi="Times New Roman"/>
                <w:sz w:val="16"/>
                <w:szCs w:val="16"/>
                <w:color w:val="auto"/>
                <w:vertAlign w:val="superscript"/>
              </w:rPr>
              <w:t>(1)</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133,489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147,042</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the Partnership</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20,793</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208,514</w:t>
            </w:r>
          </w:p>
        </w:tc>
        <w:tc>
          <w:tcPr>
            <w:tcW w:w="0" w:type="dxa"/>
            <w:vAlign w:val="bottom"/>
          </w:tcPr>
          <w:p>
            <w:pPr>
              <w:spacing w:after="0"/>
              <w:rPr>
                <w:sz w:val="1"/>
                <w:szCs w:val="1"/>
                <w:color w:val="auto"/>
              </w:rPr>
            </w:pPr>
          </w:p>
        </w:tc>
      </w:tr>
      <w:tr>
        <w:trPr>
          <w:trHeight w:val="163"/>
        </w:trPr>
        <w:tc>
          <w:tcPr>
            <w:tcW w:w="826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stockholders’ equity</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1,390,148</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1,654,591</w:t>
            </w:r>
          </w:p>
        </w:tc>
        <w:tc>
          <w:tcPr>
            <w:tcW w:w="0" w:type="dxa"/>
            <w:vAlign w:val="bottom"/>
          </w:tcPr>
          <w:p>
            <w:pPr>
              <w:spacing w:after="0"/>
              <w:rPr>
                <w:sz w:val="1"/>
                <w:szCs w:val="1"/>
                <w:color w:val="auto"/>
              </w:rPr>
            </w:pPr>
          </w:p>
        </w:tc>
      </w:tr>
      <w:tr>
        <w:trPr>
          <w:trHeight w:val="194"/>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86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4,586,693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3,788,807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amounts attributable to consolidated VIEs for which the Company did not acquire any direct economic interests. See notes 2 and 5 for more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presents the portion of the consolidated balances presented above attributable to consolidated variable interest entities.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631,197</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131,858</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29,484</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57,487</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accrued carried interest-related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484,154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March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767,014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585,140</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497,179</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Incentive fees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9,663</w:t>
            </w:r>
          </w:p>
        </w:tc>
      </w:tr>
      <w:tr>
        <w:trPr>
          <w:trHeight w:val="181"/>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Realized</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131,089</w:t>
            </w:r>
          </w:p>
        </w:tc>
      </w:tr>
      <w:tr>
        <w:trPr>
          <w:trHeight w:val="181"/>
        </w:trPr>
        <w:tc>
          <w:tcPr>
            <w:tcW w:w="6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Unrealized</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141,547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126,908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(253,342)</w:t>
            </w:r>
          </w:p>
        </w:tc>
      </w:tr>
      <w:tr>
        <w:trPr>
          <w:trHeight w:val="163"/>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301,200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(122,253)</w:t>
            </w:r>
          </w:p>
        </w:tc>
      </w:tr>
      <w:tr>
        <w:trPr>
          <w:trHeight w:val="181"/>
        </w:trPr>
        <w:tc>
          <w:tcPr>
            <w:tcW w:w="67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74,341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(75,157)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(452,163)</w:t>
            </w:r>
          </w:p>
        </w:tc>
      </w:tr>
      <w:tr>
        <w:trPr>
          <w:trHeight w:val="16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performance fees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407,816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126,491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(564,753)</w:t>
            </w:r>
          </w:p>
        </w:tc>
      </w:tr>
      <w:tr>
        <w:trPr>
          <w:trHeight w:val="175"/>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1,174,830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711,631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(67,574)</w:t>
            </w:r>
          </w:p>
        </w:tc>
      </w:tr>
      <w:tr>
        <w:trPr>
          <w:trHeight w:val="151"/>
        </w:trPr>
        <w:tc>
          <w:tcPr>
            <w:tcW w:w="67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331,808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292,962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252,180</w:t>
            </w:r>
          </w:p>
        </w:tc>
      </w:tr>
      <w:tr>
        <w:trPr>
          <w:trHeight w:val="181"/>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669,126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24,940</w:t>
            </w:r>
          </w:p>
        </w:tc>
      </w:tr>
      <w:tr>
        <w:trPr>
          <w:trHeight w:val="170"/>
        </w:trPr>
        <w:tc>
          <w:tcPr>
            <w:tcW w:w="6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67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37,687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79,846</w:t>
            </w:r>
          </w:p>
        </w:tc>
      </w:tr>
      <w:tr>
        <w:trPr>
          <w:trHeight w:val="170"/>
        </w:trPr>
        <w:tc>
          <w:tcPr>
            <w:tcW w:w="6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94,272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74,694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(119,039)</w:t>
            </w:r>
          </w:p>
        </w:tc>
      </w:tr>
      <w:tr>
        <w:trPr>
          <w:trHeight w:val="175"/>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189,020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112,381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(39,193)</w:t>
            </w:r>
          </w:p>
        </w:tc>
      </w:tr>
      <w:tr>
        <w:trPr>
          <w:trHeight w:val="169"/>
        </w:trPr>
        <w:tc>
          <w:tcPr>
            <w:tcW w:w="6740" w:type="dxa"/>
            <w:vAlign w:val="bottom"/>
            <w:tcBorders>
              <w:bottom w:val="single" w:sz="8" w:color="CCEEFF"/>
            </w:tcBorders>
          </w:tcPr>
          <w:p>
            <w:pPr>
              <w:ind w:left="400"/>
              <w:spacing w:after="0" w:line="169" w:lineRule="exact"/>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74,341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(75,157)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(452,163)</w:t>
            </w:r>
          </w:p>
        </w:tc>
      </w:tr>
      <w:tr>
        <w:trPr>
          <w:trHeight w:val="16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1,264,295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372,543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(214,236)</w:t>
            </w:r>
          </w:p>
        </w:tc>
      </w:tr>
      <w:tr>
        <w:trPr>
          <w:trHeight w:val="17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177,354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167,317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147,159</w:t>
            </w:r>
          </w:p>
        </w:tc>
      </w:tr>
      <w:tr>
        <w:trPr>
          <w:trHeight w:val="175"/>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1,441,649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539,860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(67,077)</w:t>
            </w:r>
          </w:p>
        </w:tc>
      </w:tr>
      <w:tr>
        <w:trPr>
          <w:trHeight w:val="151"/>
        </w:trPr>
        <w:tc>
          <w:tcPr>
            <w:tcW w:w="67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(loss)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(2,509)</w:t>
            </w:r>
          </w:p>
        </w:tc>
      </w:tr>
      <w:tr>
        <w:trPr>
          <w:trHeight w:val="175"/>
        </w:trPr>
        <w:tc>
          <w:tcPr>
            <w:tcW w:w="67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investment loss</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(44,075)</w:t>
            </w:r>
          </w:p>
        </w:tc>
      </w:tr>
      <w:tr>
        <w:trPr>
          <w:trHeight w:val="17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9,315</w:t>
            </w: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(4,189)</w:t>
            </w:r>
          </w:p>
        </w:tc>
      </w:tr>
      <w:tr>
        <w:trPr>
          <w:trHeight w:val="17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(loss)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(32,650)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(1,420)</w:t>
            </w:r>
          </w:p>
        </w:tc>
      </w:tr>
      <w:tr>
        <w:trPr>
          <w:trHeight w:val="175"/>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income (expense)</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44,784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(40,957)</w:t>
            </w:r>
          </w:p>
        </w:tc>
      </w:tr>
      <w:tr>
        <w:trPr>
          <w:trHeight w:val="163"/>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195,396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(41,454)</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(49,208)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3,821</w:t>
            </w:r>
          </w:p>
        </w:tc>
      </w:tr>
      <w:tr>
        <w:trPr>
          <w:trHeight w:val="163"/>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(45,275)</w:t>
            </w:r>
          </w:p>
        </w:tc>
      </w:tr>
      <w:tr>
        <w:trPr>
          <w:trHeight w:val="181"/>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35,194</w:t>
            </w:r>
          </w:p>
        </w:tc>
      </w:tr>
      <w:tr>
        <w:trPr>
          <w:trHeight w:val="175"/>
        </w:trPr>
        <w:tc>
          <w:tcPr>
            <w:tcW w:w="6740" w:type="dxa"/>
            <w:vAlign w:val="bottom"/>
          </w:tcPr>
          <w:p>
            <w:pPr>
              <w:ind w:left="360"/>
              <w:spacing w:after="0" w:line="175" w:lineRule="exact"/>
              <w:rPr>
                <w:sz w:val="20"/>
                <w:szCs w:val="20"/>
                <w:color w:val="auto"/>
              </w:rPr>
            </w:pPr>
            <w:r>
              <w:rPr>
                <w:rFonts w:ascii="Times New Roman" w:cs="Times New Roman" w:eastAsia="Times New Roman" w:hAnsi="Times New Roman"/>
                <w:sz w:val="13"/>
                <w:szCs w:val="13"/>
                <w:color w:val="auto"/>
              </w:rPr>
              <w:t>Less: Net loss attributable to non-controlling interests in legacy Greenspring entities</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(44,075)</w:t>
            </w:r>
          </w:p>
        </w:tc>
      </w:tr>
      <w:tr>
        <w:trPr>
          <w:trHeight w:val="175"/>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(19,772)</w:t>
            </w: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1,776</w:t>
            </w:r>
          </w:p>
        </w:tc>
      </w:tr>
      <w:tr>
        <w:trPr>
          <w:trHeight w:val="175"/>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subsidiaries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(179,563)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58,091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(18,398)</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6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per share of Class A common stock:</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w:t>
            </w:r>
          </w:p>
        </w:tc>
      </w:tr>
      <w:tr>
        <w:trPr>
          <w:trHeight w:val="170"/>
        </w:trPr>
        <w:tc>
          <w:tcPr>
            <w:tcW w:w="67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0.91</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of Class A common stock:</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71,142,916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63,489,135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61,884,671</w:t>
            </w:r>
          </w:p>
        </w:tc>
      </w:tr>
      <w:tr>
        <w:trPr>
          <w:trHeight w:val="181"/>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71,142,916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66,544,038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61,884,671</w:t>
            </w:r>
          </w:p>
        </w:tc>
      </w:tr>
      <w:tr>
        <w:trPr>
          <w:trHeight w:val="164"/>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per share of Class A common stock</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0.80</w:t>
            </w:r>
          </w:p>
        </w:tc>
      </w:tr>
    </w:tbl>
    <w:p>
      <w:pPr>
        <w:spacing w:after="0" w:line="155" w:lineRule="exact"/>
        <w:rPr>
          <w:sz w:val="20"/>
          <w:szCs w:val="20"/>
          <w:color w:val="auto"/>
        </w:rPr>
      </w:pPr>
    </w:p>
    <w:p>
      <w:pPr>
        <w:ind w:right="2440" w:firstLine="8"/>
        <w:spacing w:after="0" w:line="370" w:lineRule="auto"/>
        <w:tabs>
          <w:tab w:leader="none" w:pos="646"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amounts attributable to consolidated VIEs for which the Company did not acquire any direct economic interests. See notes 3 and 5 for more information. </w:t>
      </w: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(45,275)</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gain (loss) on defined benefit plan,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before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 in subsidiaries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34,856</w:t>
            </w:r>
          </w:p>
        </w:tc>
        <w:tc>
          <w:tcPr>
            <w:tcW w:w="0" w:type="dxa"/>
            <w:vAlign w:val="bottom"/>
          </w:tcPr>
          <w:p>
            <w:pPr>
              <w:spacing w:after="0"/>
              <w:rPr>
                <w:sz w:val="1"/>
                <w:szCs w:val="1"/>
                <w:color w:val="auto"/>
              </w:rPr>
            </w:pPr>
          </w:p>
        </w:tc>
      </w:tr>
      <w:tr>
        <w:trPr>
          <w:trHeight w:val="176"/>
        </w:trPr>
        <w:tc>
          <w:tcPr>
            <w:tcW w:w="67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interests in legacy</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Greenspring entities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(44,075)</w:t>
            </w:r>
          </w:p>
        </w:tc>
        <w:tc>
          <w:tcPr>
            <w:tcW w:w="0" w:type="dxa"/>
            <w:vAlign w:val="bottom"/>
          </w:tcPr>
          <w:p>
            <w:pPr>
              <w:spacing w:after="0"/>
              <w:rPr>
                <w:sz w:val="1"/>
                <w:szCs w:val="1"/>
                <w:color w:val="auto"/>
              </w:rPr>
            </w:pPr>
          </w:p>
        </w:tc>
      </w:tr>
      <w:tr>
        <w:trPr>
          <w:trHeight w:val="176"/>
        </w:trPr>
        <w:tc>
          <w:tcPr>
            <w:tcW w:w="674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the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Partnership</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(19,925)</w:t>
            </w:r>
          </w:p>
        </w:tc>
        <w:tc>
          <w:tcPr>
            <w:tcW w:w="0" w:type="dxa"/>
            <w:vAlign w:val="bottom"/>
          </w:tcPr>
          <w:p>
            <w:pPr>
              <w:spacing w:after="0"/>
              <w:rPr>
                <w:sz w:val="1"/>
                <w:szCs w:val="1"/>
                <w:color w:val="auto"/>
              </w:rPr>
            </w:pPr>
          </w:p>
        </w:tc>
      </w:tr>
      <w:tr>
        <w:trPr>
          <w:trHeight w:val="176"/>
        </w:trPr>
        <w:tc>
          <w:tcPr>
            <w:tcW w:w="67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53,731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148"/>
        </w:trPr>
        <w:tc>
          <w:tcPr>
            <w:tcW w:w="67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Consolidated Funds</w:t>
            </w: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7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400"/>
              <w:spacing w:after="0" w:line="180" w:lineRule="exact"/>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674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subsidiaries</w:t>
            </w:r>
          </w:p>
        </w:tc>
        <w:tc>
          <w:tcPr>
            <w:tcW w:w="32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740" w:type="dxa"/>
            <w:vAlign w:val="bottom"/>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StepStone Group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(18,594)</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Class A Common</w:t>
            </w: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Class B Common</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Additional Paid-</w:t>
            </w:r>
          </w:p>
        </w:tc>
        <w:tc>
          <w:tcPr>
            <w:tcW w:w="160" w:type="dxa"/>
            <w:vAlign w:val="bottom"/>
          </w:tcPr>
          <w:p>
            <w:pPr>
              <w:spacing w:after="0"/>
              <w:rPr>
                <w:sz w:val="9"/>
                <w:szCs w:val="9"/>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Legacy</w:t>
            </w: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Interests in the</w:t>
            </w:r>
          </w:p>
        </w:tc>
        <w:tc>
          <w:tcPr>
            <w:tcW w:w="100" w:type="dxa"/>
            <w:vAlign w:val="bottom"/>
          </w:tcPr>
          <w:p>
            <w:pPr>
              <w:spacing w:after="0"/>
              <w:rPr>
                <w:sz w:val="9"/>
                <w:szCs w:val="9"/>
                <w:color w:val="auto"/>
              </w:rPr>
            </w:pPr>
          </w:p>
        </w:tc>
        <w:tc>
          <w:tcPr>
            <w:tcW w:w="800" w:type="dxa"/>
            <w:vAlign w:val="bottom"/>
          </w:tcPr>
          <w:p>
            <w:pPr>
              <w:jc w:val="center"/>
              <w:ind w:right="58"/>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6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 Capital</w:t>
            </w: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Entities</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Partnership</w:t>
            </w:r>
          </w:p>
        </w:tc>
        <w:tc>
          <w:tcPr>
            <w:tcW w:w="100" w:type="dxa"/>
            <w:vAlign w:val="bottom"/>
          </w:tcPr>
          <w:p>
            <w:pPr>
              <w:spacing w:after="0"/>
              <w:rPr>
                <w:sz w:val="13"/>
                <w:szCs w:val="13"/>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76"/>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2022</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587,243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229,615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32,063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194,480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780,162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1,824,330</w:t>
            </w:r>
          </w:p>
        </w:tc>
        <w:tc>
          <w:tcPr>
            <w:tcW w:w="0" w:type="dxa"/>
            <w:vAlign w:val="bottom"/>
          </w:tcPr>
          <w:p>
            <w:pPr>
              <w:spacing w:after="0"/>
              <w:rPr>
                <w:sz w:val="1"/>
                <w:szCs w:val="1"/>
                <w:color w:val="auto"/>
              </w:rPr>
            </w:pPr>
          </w:p>
        </w:tc>
      </w:tr>
      <w:tr>
        <w:trPr>
          <w:trHeight w:val="170"/>
        </w:trPr>
        <w:tc>
          <w:tcPr>
            <w:tcW w:w="2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(47,051)</w:t>
            </w: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0" w:type="dxa"/>
            <w:vAlign w:val="bottom"/>
          </w:tcPr>
          <w:p>
            <w:pPr>
              <w:spacing w:after="0"/>
              <w:rPr>
                <w:sz w:val="1"/>
                <w:szCs w:val="1"/>
                <w:color w:val="auto"/>
              </w:rPr>
            </w:pPr>
          </w:p>
        </w:tc>
      </w:tr>
      <w:tr>
        <w:trPr>
          <w:trHeight w:val="170"/>
        </w:trPr>
        <w:tc>
          <w:tcPr>
            <w:tcW w:w="2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Contributed capital</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13,566</w:t>
            </w: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16,389</w:t>
            </w:r>
          </w:p>
        </w:tc>
        <w:tc>
          <w:tcPr>
            <w:tcW w:w="0" w:type="dxa"/>
            <w:vAlign w:val="bottom"/>
          </w:tcPr>
          <w:p>
            <w:pPr>
              <w:spacing w:after="0"/>
              <w:rPr>
                <w:sz w:val="1"/>
                <w:szCs w:val="1"/>
                <w:color w:val="auto"/>
              </w:rPr>
            </w:pPr>
          </w:p>
        </w:tc>
      </w:tr>
      <w:tr>
        <w:trPr>
          <w:trHeight w:val="170"/>
        </w:trPr>
        <w:tc>
          <w:tcPr>
            <w:tcW w:w="2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Distributions</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(120,643)</w:t>
            </w: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(50,787)</w:t>
            </w:r>
          </w:p>
        </w:tc>
        <w:tc>
          <w:tcPr>
            <w:tcW w:w="0" w:type="dxa"/>
            <w:vAlign w:val="bottom"/>
          </w:tcPr>
          <w:p>
            <w:pPr>
              <w:spacing w:after="0"/>
              <w:rPr>
                <w:sz w:val="1"/>
                <w:szCs w:val="1"/>
                <w:color w:val="auto"/>
              </w:rPr>
            </w:pPr>
          </w:p>
        </w:tc>
      </w:tr>
      <w:tr>
        <w:trPr>
          <w:trHeight w:val="122"/>
        </w:trPr>
        <w:tc>
          <w:tcPr>
            <w:tcW w:w="25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Vesting of RSUs, net of shares withheld for</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employee taxes</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(2,743)</w:t>
            </w:r>
          </w:p>
        </w:tc>
        <w:tc>
          <w:tcPr>
            <w:tcW w:w="0" w:type="dxa"/>
            <w:vAlign w:val="bottom"/>
          </w:tcPr>
          <w:p>
            <w:pPr>
              <w:spacing w:after="0"/>
              <w:rPr>
                <w:sz w:val="1"/>
                <w:szCs w:val="1"/>
                <w:color w:val="auto"/>
              </w:rPr>
            </w:pPr>
          </w:p>
        </w:tc>
      </w:tr>
      <w:tr>
        <w:trPr>
          <w:trHeight w:val="130"/>
        </w:trPr>
        <w:tc>
          <w:tcPr>
            <w:tcW w:w="25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Exchange of Class B and Class C units for</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60" w:type="dxa"/>
            <w:vAlign w:val="bottom"/>
            <w:shd w:val="clear" w:color="auto" w:fill="CCEEFF"/>
          </w:tcPr>
          <w:p>
            <w:pPr>
              <w:ind w:left="240"/>
              <w:spacing w:after="0" w:line="131" w:lineRule="exact"/>
              <w:rPr>
                <w:sz w:val="20"/>
                <w:szCs w:val="20"/>
                <w:color w:val="auto"/>
              </w:rPr>
            </w:pPr>
            <w:r>
              <w:rPr>
                <w:rFonts w:ascii="Times New Roman" w:cs="Times New Roman" w:eastAsia="Times New Roman" w:hAnsi="Times New Roman"/>
                <w:sz w:val="13"/>
                <w:szCs w:val="13"/>
                <w:color w:val="auto"/>
              </w:rPr>
              <w:t>Class A common stock and redemption of</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corresponding Class B common shares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2"/>
        </w:trPr>
        <w:tc>
          <w:tcPr>
            <w:tcW w:w="25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Equity reallocation between controlling and</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5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Deferred tax effect resulting from equity</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3"/>
                <w:szCs w:val="13"/>
                <w:color w:val="auto"/>
              </w:rPr>
              <w:t>transactions affecting ownership in the</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Partnership</w:t>
            </w:r>
            <w:r>
              <w:rPr>
                <w:rFonts w:ascii="Times New Roman" w:cs="Times New Roman" w:eastAsia="Times New Roman" w:hAnsi="Times New Roman"/>
                <w:sz w:val="16"/>
                <w:szCs w:val="16"/>
                <w:color w:val="auto"/>
                <w:vertAlign w:val="superscript"/>
              </w:rPr>
              <w:t>(1)</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w:t>
            </w:r>
          </w:p>
        </w:tc>
        <w:tc>
          <w:tcPr>
            <w:tcW w:w="0" w:type="dxa"/>
            <w:vAlign w:val="bottom"/>
          </w:tcPr>
          <w:p>
            <w:pPr>
              <w:spacing w:after="0"/>
              <w:rPr>
                <w:sz w:val="1"/>
                <w:szCs w:val="1"/>
                <w:color w:val="auto"/>
              </w:rPr>
            </w:pPr>
          </w:p>
        </w:tc>
      </w:tr>
      <w:tr>
        <w:trPr>
          <w:trHeight w:val="163"/>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March 31, 2023</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610,567</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160,430</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36,380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152,658</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668,182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1,628,787</w:t>
            </w: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146,200</w:t>
            </w:r>
          </w:p>
        </w:tc>
        <w:tc>
          <w:tcPr>
            <w:tcW w:w="0" w:type="dxa"/>
            <w:vAlign w:val="bottom"/>
          </w:tcPr>
          <w:p>
            <w:pPr>
              <w:spacing w:after="0"/>
              <w:rPr>
                <w:sz w:val="1"/>
                <w:szCs w:val="1"/>
                <w:color w:val="auto"/>
              </w:rPr>
            </w:pPr>
          </w:p>
        </w:tc>
      </w:tr>
      <w:tr>
        <w:trPr>
          <w:trHeight w:val="170"/>
        </w:trPr>
        <w:tc>
          <w:tcPr>
            <w:tcW w:w="2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Contributed capital</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12,503</w:t>
            </w:r>
          </w:p>
        </w:tc>
        <w:tc>
          <w:tcPr>
            <w:tcW w:w="0" w:type="dxa"/>
            <w:vAlign w:val="bottom"/>
          </w:tcPr>
          <w:p>
            <w:pPr>
              <w:spacing w:after="0"/>
              <w:rPr>
                <w:sz w:val="1"/>
                <w:szCs w:val="1"/>
                <w:color w:val="auto"/>
              </w:rPr>
            </w:pPr>
          </w:p>
        </w:tc>
      </w:tr>
      <w:tr>
        <w:trPr>
          <w:trHeight w:val="170"/>
        </w:trPr>
        <w:tc>
          <w:tcPr>
            <w:tcW w:w="2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19,681</w:t>
            </w: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(106,330)</w:t>
            </w:r>
          </w:p>
        </w:tc>
        <w:tc>
          <w:tcPr>
            <w:tcW w:w="0" w:type="dxa"/>
            <w:vAlign w:val="bottom"/>
          </w:tcPr>
          <w:p>
            <w:pPr>
              <w:spacing w:after="0"/>
              <w:rPr>
                <w:sz w:val="1"/>
                <w:szCs w:val="1"/>
                <w:color w:val="auto"/>
              </w:rPr>
            </w:pPr>
          </w:p>
        </w:tc>
      </w:tr>
      <w:tr>
        <w:trPr>
          <w:trHeight w:val="170"/>
        </w:trPr>
        <w:tc>
          <w:tcPr>
            <w:tcW w:w="2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(70,346)</w:t>
            </w:r>
          </w:p>
        </w:tc>
        <w:tc>
          <w:tcPr>
            <w:tcW w:w="0" w:type="dxa"/>
            <w:vAlign w:val="bottom"/>
          </w:tcPr>
          <w:p>
            <w:pPr>
              <w:spacing w:after="0"/>
              <w:rPr>
                <w:sz w:val="1"/>
                <w:szCs w:val="1"/>
                <w:color w:val="auto"/>
              </w:rPr>
            </w:pPr>
          </w:p>
        </w:tc>
      </w:tr>
      <w:tr>
        <w:trPr>
          <w:trHeight w:val="127"/>
        </w:trPr>
        <w:tc>
          <w:tcPr>
            <w:tcW w:w="256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Vesting of RSUs, net of shares withheld for</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employee taxes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0" w:type="dxa"/>
            <w:vAlign w:val="bottom"/>
          </w:tcPr>
          <w:p>
            <w:pPr>
              <w:spacing w:after="0"/>
              <w:rPr>
                <w:sz w:val="1"/>
                <w:szCs w:val="1"/>
                <w:color w:val="auto"/>
              </w:rPr>
            </w:pPr>
          </w:p>
        </w:tc>
      </w:tr>
      <w:tr>
        <w:trPr>
          <w:trHeight w:val="121"/>
        </w:trPr>
        <w:tc>
          <w:tcPr>
            <w:tcW w:w="25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Exchange of Class B and Class C units for</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560" w:type="dxa"/>
            <w:vAlign w:val="bottom"/>
          </w:tcPr>
          <w:p>
            <w:pPr>
              <w:ind w:left="240"/>
              <w:spacing w:after="0" w:line="131" w:lineRule="exact"/>
              <w:rPr>
                <w:sz w:val="20"/>
                <w:szCs w:val="20"/>
                <w:color w:val="auto"/>
              </w:rPr>
            </w:pPr>
            <w:r>
              <w:rPr>
                <w:rFonts w:ascii="Times New Roman" w:cs="Times New Roman" w:eastAsia="Times New Roman" w:hAnsi="Times New Roman"/>
                <w:sz w:val="13"/>
                <w:szCs w:val="13"/>
                <w:color w:val="auto"/>
              </w:rPr>
              <w:t>Class A common stock and redemption of</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5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corresponding Class B common shares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Sale of non-controlling interests</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3,045</w:t>
            </w:r>
          </w:p>
        </w:tc>
        <w:tc>
          <w:tcPr>
            <w:tcW w:w="0" w:type="dxa"/>
            <w:vAlign w:val="bottom"/>
          </w:tcPr>
          <w:p>
            <w:pPr>
              <w:spacing w:after="0"/>
              <w:rPr>
                <w:sz w:val="1"/>
                <w:szCs w:val="1"/>
                <w:color w:val="auto"/>
              </w:rPr>
            </w:pPr>
          </w:p>
        </w:tc>
      </w:tr>
      <w:tr>
        <w:trPr>
          <w:trHeight w:val="121"/>
        </w:trPr>
        <w:tc>
          <w:tcPr>
            <w:tcW w:w="25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Equity reallocation between controlling and</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21,277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5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Deferred tax effect resulting from equity</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3"/>
                <w:szCs w:val="13"/>
                <w:color w:val="auto"/>
              </w:rPr>
              <w:t>transactions affecting ownership in the</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Partnership</w:t>
            </w:r>
            <w:r>
              <w:rPr>
                <w:rFonts w:ascii="Times New Roman" w:cs="Times New Roman" w:eastAsia="Times New Roman" w:hAnsi="Times New Roman"/>
                <w:sz w:val="16"/>
                <w:szCs w:val="16"/>
                <w:color w:val="auto"/>
                <w:vertAlign w:val="superscript"/>
              </w:rPr>
              <w:t>(1)</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132,560</w:t>
            </w:r>
          </w:p>
        </w:tc>
        <w:tc>
          <w:tcPr>
            <w:tcW w:w="0" w:type="dxa"/>
            <w:vAlign w:val="bottom"/>
          </w:tcPr>
          <w:p>
            <w:pPr>
              <w:spacing w:after="0"/>
              <w:rPr>
                <w:sz w:val="1"/>
                <w:szCs w:val="1"/>
                <w:color w:val="auto"/>
              </w:rPr>
            </w:pPr>
          </w:p>
        </w:tc>
      </w:tr>
      <w:tr>
        <w:trPr>
          <w:trHeight w:val="121"/>
        </w:trPr>
        <w:tc>
          <w:tcPr>
            <w:tcW w:w="25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Reclassification and adjustment of non-</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560" w:type="dxa"/>
            <w:vAlign w:val="bottom"/>
          </w:tcPr>
          <w:p>
            <w:pPr>
              <w:ind w:left="240"/>
              <w:spacing w:after="0" w:line="131" w:lineRule="exact"/>
              <w:rPr>
                <w:sz w:val="20"/>
                <w:szCs w:val="20"/>
                <w:color w:val="auto"/>
              </w:rPr>
            </w:pPr>
            <w:r>
              <w:rPr>
                <w:rFonts w:ascii="Times New Roman" w:cs="Times New Roman" w:eastAsia="Times New Roman" w:hAnsi="Times New Roman"/>
                <w:sz w:val="13"/>
                <w:szCs w:val="13"/>
                <w:color w:val="auto"/>
              </w:rPr>
              <w:t>controlling interests in subsidiaries to</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5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redeemable equity at redemption value</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(465,339)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(451,886)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(1,086,492)</w:t>
            </w:r>
          </w:p>
        </w:tc>
        <w:tc>
          <w:tcPr>
            <w:tcW w:w="0" w:type="dxa"/>
            <w:vAlign w:val="bottom"/>
          </w:tcPr>
          <w:p>
            <w:pPr>
              <w:spacing w:after="0"/>
              <w:rPr>
                <w:sz w:val="1"/>
                <w:szCs w:val="1"/>
                <w:color w:val="auto"/>
              </w:rPr>
            </w:pPr>
          </w:p>
        </w:tc>
      </w:tr>
      <w:tr>
        <w:trPr>
          <w:trHeight w:val="130"/>
        </w:trPr>
        <w:tc>
          <w:tcPr>
            <w:tcW w:w="25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9"/>
              </w:rPr>
              <w:t>Reclassification of non-controlling interests in</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subsidiaries from redeemable equity</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976,354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976,354</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March 31, 2024</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310,293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13,768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974,559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147,042</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208,514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1,654,591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11 and 14 for more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Class A Common</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Class B Common</w:t>
            </w:r>
          </w:p>
        </w:tc>
        <w:tc>
          <w:tcPr>
            <w:tcW w:w="100" w:type="dxa"/>
            <w:vAlign w:val="bottom"/>
          </w:tcPr>
          <w:p>
            <w:pPr>
              <w:spacing w:after="0"/>
              <w:rPr>
                <w:sz w:val="9"/>
                <w:szCs w:val="9"/>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8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Legacy</w:t>
            </w: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Interests in the</w:t>
            </w:r>
          </w:p>
        </w:tc>
        <w:tc>
          <w:tcPr>
            <w:tcW w:w="100" w:type="dxa"/>
            <w:vAlign w:val="bottom"/>
          </w:tcPr>
          <w:p>
            <w:pPr>
              <w:spacing w:after="0"/>
              <w:rPr>
                <w:sz w:val="9"/>
                <w:szCs w:val="9"/>
                <w:color w:val="auto"/>
              </w:rPr>
            </w:pPr>
          </w:p>
        </w:tc>
        <w:tc>
          <w:tcPr>
            <w:tcW w:w="800" w:type="dxa"/>
            <w:vAlign w:val="bottom"/>
          </w:tcPr>
          <w:p>
            <w:pPr>
              <w:jc w:val="center"/>
              <w:ind w:right="58"/>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Paid-in Capital</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Entities</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Partnership</w:t>
            </w:r>
          </w:p>
        </w:tc>
        <w:tc>
          <w:tcPr>
            <w:tcW w:w="100" w:type="dxa"/>
            <w:vAlign w:val="bottom"/>
          </w:tcPr>
          <w:p>
            <w:pPr>
              <w:spacing w:after="0"/>
              <w:rPr>
                <w:sz w:val="13"/>
                <w:szCs w:val="13"/>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76"/>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March 31, 2024</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310,293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304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974,559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147,042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208,514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1,654,591</w:t>
            </w:r>
          </w:p>
        </w:tc>
        <w:tc>
          <w:tcPr>
            <w:tcW w:w="0" w:type="dxa"/>
            <w:vAlign w:val="bottom"/>
          </w:tcPr>
          <w:p>
            <w:pPr>
              <w:spacing w:after="0"/>
              <w:rPr>
                <w:sz w:val="1"/>
                <w:szCs w:val="1"/>
                <w:color w:val="auto"/>
              </w:rPr>
            </w:pPr>
          </w:p>
        </w:tc>
      </w:tr>
      <w:tr>
        <w:trPr>
          <w:trHeight w:val="170"/>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79,282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(227,316)</w:t>
            </w:r>
          </w:p>
        </w:tc>
        <w:tc>
          <w:tcPr>
            <w:tcW w:w="0" w:type="dxa"/>
            <w:vAlign w:val="bottom"/>
          </w:tcPr>
          <w:p>
            <w:pPr>
              <w:spacing w:after="0"/>
              <w:rPr>
                <w:sz w:val="1"/>
                <w:szCs w:val="1"/>
                <w:color w:val="auto"/>
              </w:rPr>
            </w:pPr>
          </w:p>
        </w:tc>
      </w:tr>
      <w:tr>
        <w:trPr>
          <w:trHeight w:val="181"/>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0" w:type="dxa"/>
            <w:vAlign w:val="bottom"/>
          </w:tcPr>
          <w:p>
            <w:pPr>
              <w:spacing w:after="0"/>
              <w:rPr>
                <w:sz w:val="1"/>
                <w:szCs w:val="1"/>
                <w:color w:val="auto"/>
              </w:rPr>
            </w:pPr>
          </w:p>
        </w:tc>
      </w:tr>
      <w:tr>
        <w:trPr>
          <w:trHeight w:val="170"/>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Contributed capital</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8,773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28,379</w:t>
            </w:r>
          </w:p>
        </w:tc>
        <w:tc>
          <w:tcPr>
            <w:tcW w:w="0" w:type="dxa"/>
            <w:vAlign w:val="bottom"/>
          </w:tcPr>
          <w:p>
            <w:pPr>
              <w:spacing w:after="0"/>
              <w:rPr>
                <w:sz w:val="1"/>
                <w:szCs w:val="1"/>
                <w:color w:val="auto"/>
              </w:rPr>
            </w:pPr>
          </w:p>
        </w:tc>
      </w:tr>
      <w:tr>
        <w:trPr>
          <w:trHeight w:val="181"/>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9,847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816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17,322</w:t>
            </w:r>
          </w:p>
        </w:tc>
        <w:tc>
          <w:tcPr>
            <w:tcW w:w="0" w:type="dxa"/>
            <w:vAlign w:val="bottom"/>
          </w:tcPr>
          <w:p>
            <w:pPr>
              <w:spacing w:after="0"/>
              <w:rPr>
                <w:sz w:val="1"/>
                <w:szCs w:val="1"/>
                <w:color w:val="auto"/>
              </w:rPr>
            </w:pPr>
          </w:p>
        </w:tc>
      </w:tr>
      <w:tr>
        <w:trPr>
          <w:trHeight w:val="170"/>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Distributions</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(31,971)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(161,250)</w:t>
            </w:r>
          </w:p>
        </w:tc>
        <w:tc>
          <w:tcPr>
            <w:tcW w:w="0" w:type="dxa"/>
            <w:vAlign w:val="bottom"/>
          </w:tcPr>
          <w:p>
            <w:pPr>
              <w:spacing w:after="0"/>
              <w:rPr>
                <w:sz w:val="1"/>
                <w:szCs w:val="1"/>
                <w:color w:val="auto"/>
              </w:rPr>
            </w:pPr>
          </w:p>
        </w:tc>
      </w:tr>
      <w:tr>
        <w:trPr>
          <w:trHeight w:val="181"/>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declared</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(76,751)</w:t>
            </w:r>
          </w:p>
        </w:tc>
        <w:tc>
          <w:tcPr>
            <w:tcW w:w="0" w:type="dxa"/>
            <w:vAlign w:val="bottom"/>
          </w:tcPr>
          <w:p>
            <w:pPr>
              <w:spacing w:after="0"/>
              <w:rPr>
                <w:sz w:val="1"/>
                <w:szCs w:val="1"/>
                <w:color w:val="auto"/>
              </w:rPr>
            </w:pPr>
          </w:p>
        </w:tc>
      </w:tr>
      <w:tr>
        <w:trPr>
          <w:trHeight w:val="122"/>
        </w:trPr>
        <w:tc>
          <w:tcPr>
            <w:tcW w:w="254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Vesting of RSUs, net of shares withheld for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employee taxes</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Class A common stock issued under ESPP</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1,585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0" w:type="dxa"/>
            <w:vAlign w:val="bottom"/>
          </w:tcPr>
          <w:p>
            <w:pPr>
              <w:spacing w:after="0"/>
              <w:rPr>
                <w:sz w:val="1"/>
                <w:szCs w:val="1"/>
                <w:color w:val="auto"/>
              </w:rPr>
            </w:pPr>
          </w:p>
        </w:tc>
      </w:tr>
      <w:tr>
        <w:trPr>
          <w:trHeight w:val="122"/>
        </w:trPr>
        <w:tc>
          <w:tcPr>
            <w:tcW w:w="254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Exchange of Class B, Class C and Class D</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540" w:type="dxa"/>
            <w:vAlign w:val="bottom"/>
          </w:tcPr>
          <w:p>
            <w:pPr>
              <w:ind w:left="220"/>
              <w:spacing w:after="0" w:line="131" w:lineRule="exact"/>
              <w:rPr>
                <w:sz w:val="20"/>
                <w:szCs w:val="20"/>
                <w:color w:val="auto"/>
              </w:rPr>
            </w:pPr>
            <w:r>
              <w:rPr>
                <w:rFonts w:ascii="Times New Roman" w:cs="Times New Roman" w:eastAsia="Times New Roman" w:hAnsi="Times New Roman"/>
                <w:sz w:val="13"/>
                <w:szCs w:val="13"/>
                <w:color w:val="auto"/>
              </w:rPr>
              <w:t>units for Class A common stock and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40" w:type="dxa"/>
            <w:vAlign w:val="bottom"/>
          </w:tcPr>
          <w:p>
            <w:pPr>
              <w:ind w:left="220"/>
              <w:spacing w:after="0" w:line="126" w:lineRule="exact"/>
              <w:rPr>
                <w:sz w:val="20"/>
                <w:szCs w:val="20"/>
                <w:color w:val="auto"/>
              </w:rPr>
            </w:pPr>
            <w:r>
              <w:rPr>
                <w:rFonts w:ascii="Times New Roman" w:cs="Times New Roman" w:eastAsia="Times New Roman" w:hAnsi="Times New Roman"/>
                <w:sz w:val="13"/>
                <w:szCs w:val="13"/>
                <w:color w:val="auto"/>
              </w:rPr>
              <w:t>redemption of corresponding Class B</w:t>
            </w: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0"/>
        </w:trPr>
        <w:tc>
          <w:tcPr>
            <w:tcW w:w="2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common shares</w:t>
            </w: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rPr>
              <w:t>Vesting of Class B2 units and issuance of</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40" w:type="dxa"/>
            <w:vAlign w:val="bottom"/>
            <w:shd w:val="clear" w:color="auto" w:fill="CCEEFF"/>
          </w:tcPr>
          <w:p>
            <w:pPr>
              <w:ind w:left="220"/>
              <w:spacing w:after="0" w:line="131" w:lineRule="exact"/>
              <w:rPr>
                <w:sz w:val="20"/>
                <w:szCs w:val="20"/>
                <w:color w:val="auto"/>
              </w:rPr>
            </w:pPr>
            <w:r>
              <w:rPr>
                <w:rFonts w:ascii="Times New Roman" w:cs="Times New Roman" w:eastAsia="Times New Roman" w:hAnsi="Times New Roman"/>
                <w:sz w:val="13"/>
                <w:szCs w:val="13"/>
                <w:color w:val="auto"/>
              </w:rPr>
              <w:t>corresponding Class B common stock at par</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value</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0"/>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Purchase of non-controlling interests</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(5,398)</w:t>
            </w: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rPr>
              <w:t>Settlement of non-controlling interests related</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 awards of carried interest allocations</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54,977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54,977</w:t>
            </w:r>
          </w:p>
        </w:tc>
        <w:tc>
          <w:tcPr>
            <w:tcW w:w="0" w:type="dxa"/>
            <w:vAlign w:val="bottom"/>
          </w:tcPr>
          <w:p>
            <w:pPr>
              <w:spacing w:after="0"/>
              <w:rPr>
                <w:sz w:val="1"/>
                <w:szCs w:val="1"/>
                <w:color w:val="auto"/>
              </w:rPr>
            </w:pPr>
          </w:p>
        </w:tc>
      </w:tr>
      <w:tr>
        <w:trPr>
          <w:trHeight w:val="122"/>
        </w:trPr>
        <w:tc>
          <w:tcPr>
            <w:tcW w:w="254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Redemption of redeemable non-controlling</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interests in subsidiaries</w:t>
            </w: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55,879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97,383</w:t>
            </w:r>
          </w:p>
        </w:tc>
        <w:tc>
          <w:tcPr>
            <w:tcW w:w="0" w:type="dxa"/>
            <w:vAlign w:val="bottom"/>
          </w:tcPr>
          <w:p>
            <w:pPr>
              <w:spacing w:after="0"/>
              <w:rPr>
                <w:sz w:val="1"/>
                <w:szCs w:val="1"/>
                <w:color w:val="auto"/>
              </w:rPr>
            </w:pPr>
          </w:p>
        </w:tc>
      </w:tr>
      <w:tr>
        <w:trPr>
          <w:trHeight w:val="129"/>
        </w:trPr>
        <w:tc>
          <w:tcPr>
            <w:tcW w:w="25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Equity reallocation between controlling and</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41,559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54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Deferred tax effect resulting from equity</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tcPr>
          <w:p>
            <w:pPr>
              <w:ind w:left="220"/>
              <w:spacing w:after="0" w:line="122" w:lineRule="exact"/>
              <w:rPr>
                <w:sz w:val="20"/>
                <w:szCs w:val="20"/>
                <w:color w:val="auto"/>
              </w:rPr>
            </w:pPr>
            <w:r>
              <w:rPr>
                <w:rFonts w:ascii="Times New Roman" w:cs="Times New Roman" w:eastAsia="Times New Roman" w:hAnsi="Times New Roman"/>
                <w:sz w:val="13"/>
                <w:szCs w:val="13"/>
                <w:color w:val="auto"/>
              </w:rPr>
              <w:t>transactions affecting ownership in the</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Partnership</w:t>
            </w:r>
            <w:r>
              <w:rPr>
                <w:rFonts w:ascii="Times New Roman" w:cs="Times New Roman" w:eastAsia="Times New Roman" w:hAnsi="Times New Roman"/>
                <w:sz w:val="16"/>
                <w:szCs w:val="16"/>
                <w:color w:val="auto"/>
                <w:vertAlign w:val="superscript"/>
              </w:rPr>
              <w:t>(1)</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5,950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5,950</w:t>
            </w:r>
          </w:p>
        </w:tc>
        <w:tc>
          <w:tcPr>
            <w:tcW w:w="0" w:type="dxa"/>
            <w:vAlign w:val="bottom"/>
          </w:tcPr>
          <w:p>
            <w:pPr>
              <w:spacing w:after="0"/>
              <w:rPr>
                <w:sz w:val="1"/>
                <w:szCs w:val="1"/>
                <w:color w:val="auto"/>
              </w:rPr>
            </w:pPr>
          </w:p>
        </w:tc>
      </w:tr>
      <w:tr>
        <w:trPr>
          <w:trHeight w:val="194"/>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March 31, 2025</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421,057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(242,546)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728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1,056,510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1,390,148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11 and 14 for more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(172,827)</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167,820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(45,275)</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47,443</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carried interest allocations and investment (income) loss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261,354</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legacy Greenspring carried interest allocations and investment loss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577,484</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performance fee-related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(119,039)</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legacy Greenspring performance fee-related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(526,837)</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650,132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24,940</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(12,692)</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 for acquisition-related contingent consideration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9,361</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remeasurement of lease liabilities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sale of subsidiary</w:t>
            </w: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acquisition-related contingent consideration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non-cash activities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reconcile net income to net cash provided by operating activities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investment income of Consolidated Funds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(9,312)</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investments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(21,287)</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investments of Consolidated Funds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Fees and accounts receivable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(10,309)</w:t>
            </w: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Due from affiliates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(30,222)</w:t>
            </w: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assets and receivables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w:t>
            </w: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11,160</w:t>
            </w: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Due to affiliates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right-of-use assets, net and lease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assets and receivables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liabilities and payables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r>
      <w:tr>
        <w:trPr>
          <w:trHeight w:val="189"/>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64,928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151,183</w:t>
            </w:r>
          </w:p>
        </w:tc>
      </w:tr>
      <w:tr>
        <w:trPr>
          <w:trHeight w:val="18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to investments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(21,637)</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received from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5,280</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to investments in legacy Greenspring entities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(13,387)</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received from investments in legacy Greenspring entities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4,563</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(5,627)</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9"/>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(43,475)</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(47,347)</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(30,807)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March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capital contributions from non-controlling interests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non-controlling interests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of redeemable non-controlling interests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sale of non-controlling interests</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revolving credit facility</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issuance of Class A common stock of shares under ESPP</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notes payable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financing costs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(97,341)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(109,509)</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capital contributions to legacy Greenspring entities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13,387</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 in legacy Greenspring entities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(11,134)</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for acquisition-related contingent consideration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paid to common stockholders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(68,474)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(49,973)</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for employee taxes related to net settlement of RSUs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(2,743)</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to related parties under Tax Receivable Agreements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Cash flows from financing activities of Consolidated Funds: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borrowings on fund credit facility</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on fund credit facility</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 from redeemable non-controlling interests in Consolidated Funds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240,256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62,255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22,754</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Redemptions of redeemable non-controlling interests in Consolidated Funds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6740" w:type="dxa"/>
            <w:vAlign w:val="bottom"/>
            <w:tcBorders>
              <w:bottom w:val="single" w:sz="8" w:color="CCEEFF"/>
            </w:tcBorders>
          </w:tcPr>
          <w:p>
            <w:pPr>
              <w:ind w:left="360"/>
              <w:spacing w:after="0" w:line="144"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87,481</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(57,978)</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(108,021)</w:t>
            </w: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foreign currency exchange rate changes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0" w:type="dxa"/>
            <w:vAlign w:val="bottom"/>
          </w:tcPr>
          <w:p>
            <w:pPr>
              <w:spacing w:after="0"/>
              <w:rPr>
                <w:sz w:val="1"/>
                <w:szCs w:val="1"/>
                <w:color w:val="auto"/>
              </w:rPr>
            </w:pP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52,795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12,068</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182,312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129,517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117,449</w:t>
            </w:r>
          </w:p>
        </w:tc>
        <w:tc>
          <w:tcPr>
            <w:tcW w:w="0" w:type="dxa"/>
            <w:vAlign w:val="bottom"/>
          </w:tcPr>
          <w:p>
            <w:pPr>
              <w:spacing w:after="0"/>
              <w:rPr>
                <w:sz w:val="1"/>
                <w:szCs w:val="1"/>
                <w:color w:val="auto"/>
              </w:rPr>
            </w:pPr>
          </w:p>
        </w:tc>
      </w:tr>
      <w:tr>
        <w:trPr>
          <w:trHeight w:val="163"/>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289,804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182,312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129,517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paid</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paid</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29,487</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operating, investing, and financing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dividends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0" w:type="dxa"/>
            <w:vAlign w:val="bottom"/>
          </w:tcPr>
          <w:p>
            <w:pPr>
              <w:spacing w:after="0"/>
              <w:rPr>
                <w:sz w:val="1"/>
                <w:szCs w:val="1"/>
                <w:color w:val="auto"/>
              </w:rPr>
            </w:pPr>
          </w:p>
        </w:tc>
      </w:tr>
      <w:tr>
        <w:trPr>
          <w:trHeight w:val="127"/>
        </w:trPr>
        <w:tc>
          <w:tcPr>
            <w:tcW w:w="6740" w:type="dxa"/>
            <w:vAlign w:val="bottom"/>
            <w:shd w:val="clear" w:color="auto" w:fill="CCEEFF"/>
          </w:tcPr>
          <w:p>
            <w:pPr>
              <w:ind w:left="360"/>
              <w:spacing w:after="0" w:line="128" w:lineRule="exact"/>
              <w:rPr>
                <w:sz w:val="20"/>
                <w:szCs w:val="20"/>
                <w:color w:val="auto"/>
              </w:rPr>
            </w:pPr>
            <w:r>
              <w:rPr>
                <w:rFonts w:ascii="Times New Roman" w:cs="Times New Roman" w:eastAsia="Times New Roman" w:hAnsi="Times New Roman"/>
                <w:sz w:val="13"/>
                <w:szCs w:val="13"/>
                <w:color w:val="auto"/>
                <w:w w:val="99"/>
              </w:rPr>
              <w:t>Deferred tax effect resulting from transactions affecting ownership in the Partnership, including net amounts payable under</w:t>
            </w:r>
          </w:p>
        </w:tc>
        <w:tc>
          <w:tcPr>
            <w:tcW w:w="3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132,560</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w:t>
            </w:r>
          </w:p>
        </w:tc>
        <w:tc>
          <w:tcPr>
            <w:tcW w:w="0" w:type="dxa"/>
            <w:vAlign w:val="bottom"/>
          </w:tcPr>
          <w:p>
            <w:pPr>
              <w:spacing w:after="0"/>
              <w:rPr>
                <w:sz w:val="1"/>
                <w:szCs w:val="1"/>
                <w:color w:val="auto"/>
              </w:rPr>
            </w:pPr>
          </w:p>
        </w:tc>
      </w:tr>
      <w:tr>
        <w:trPr>
          <w:trHeight w:val="105"/>
        </w:trPr>
        <w:tc>
          <w:tcPr>
            <w:tcW w:w="6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Tax Receivable Agreements</w:t>
            </w:r>
          </w:p>
        </w:tc>
        <w:tc>
          <w:tcPr>
            <w:tcW w:w="3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674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Establishment of lease liabilities in exchange for lease right-of-use assets</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77,347</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Remeasurement of lease liabilities</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(18,166)</w:t>
            </w:r>
          </w:p>
        </w:tc>
        <w:tc>
          <w:tcPr>
            <w:tcW w:w="0" w:type="dxa"/>
            <w:vAlign w:val="bottom"/>
          </w:tcPr>
          <w:p>
            <w:pPr>
              <w:spacing w:after="0"/>
              <w:rPr>
                <w:sz w:val="1"/>
                <w:szCs w:val="1"/>
                <w:color w:val="auto"/>
              </w:rPr>
            </w:pP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Issuance of note related to sale of subsidiary</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Reclassification and adjustment of non-controlling interests in subsidiaries to redeemable equity at redemption value</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1,086,492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Settlement of non-controlling interests related to awards of carried interest allocations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Equity issued for redemption of redeemable non-controlling interests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Reconciliation of cash, cash equivalents and restricted cash:</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244,791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102,565</w:t>
            </w:r>
          </w:p>
        </w:tc>
        <w:tc>
          <w:tcPr>
            <w:tcW w:w="0" w:type="dxa"/>
            <w:vAlign w:val="bottom"/>
          </w:tcPr>
          <w:p>
            <w:pPr>
              <w:spacing w:after="0"/>
              <w:rPr>
                <w:sz w:val="1"/>
                <w:szCs w:val="1"/>
                <w:color w:val="auto"/>
              </w:rPr>
            </w:pP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Restricted cash</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Cash and cash equivalents of Consolidated Funds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44,511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38,164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25,997</w:t>
            </w:r>
          </w:p>
        </w:tc>
        <w:tc>
          <w:tcPr>
            <w:tcW w:w="0" w:type="dxa"/>
            <w:vAlign w:val="bottom"/>
          </w:tcPr>
          <w:p>
            <w:pPr>
              <w:spacing w:after="0"/>
              <w:rPr>
                <w:sz w:val="1"/>
                <w:szCs w:val="1"/>
                <w:color w:val="auto"/>
              </w:rPr>
            </w:pPr>
          </w:p>
        </w:tc>
      </w:tr>
      <w:tr>
        <w:trPr>
          <w:trHeight w:val="163"/>
        </w:trPr>
        <w:tc>
          <w:tcPr>
            <w:tcW w:w="67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289,804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182,312</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129,517</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Organization</w:t>
      </w:r>
    </w:p>
    <w:p>
      <w:pPr>
        <w:spacing w:after="0" w:line="233"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StepStone Group Inc. (“SSG”) was incorporated in the state of Delaware on November 20, 2019 and, following its initial public offering in 2020, acts as a holding company for StepStone Group LP (the “Partnership”).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consolidated financial statements.</w:t>
      </w:r>
    </w:p>
    <w:p>
      <w:pPr>
        <w:spacing w:after="0" w:line="192"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2" w:lineRule="exact"/>
        <w:rPr>
          <w:sz w:val="20"/>
          <w:szCs w:val="20"/>
          <w:color w:val="auto"/>
        </w:rPr>
      </w:pPr>
    </w:p>
    <w:p>
      <w:pPr>
        <w:ind w:right="700" w:firstLine="648"/>
        <w:spacing w:after="0" w:line="283" w:lineRule="auto"/>
        <w:rPr>
          <w:sz w:val="20"/>
          <w:szCs w:val="20"/>
          <w:color w:val="auto"/>
        </w:rPr>
      </w:pPr>
      <w:r>
        <w:rPr>
          <w:rFonts w:ascii="Times New Roman" w:cs="Times New Roman" w:eastAsia="Times New Roman" w:hAnsi="Times New Roman"/>
          <w:sz w:val="20"/>
          <w:szCs w:val="20"/>
          <w:color w:val="auto"/>
        </w:rPr>
        <w:t>The Company, through its subsidiaries, acts as the investment advisor and general partner or managing member to separately managed accounts (“SMAs”) and focused commingled funds (collectively, the “StepStone Funds”).</w:t>
      </w:r>
    </w:p>
    <w:p>
      <w:pPr>
        <w:spacing w:after="0" w:line="16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Class C and Class D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11). Each share of Class A common stock is entitled to one vote and each share of Class B common stock is entitled to five votes. As of March 31, 2025, SSG held approximately 64.6% of the economic interest in the Partnership. As the Partnership’s limited partners exchange their Class B, Class C and Class D units into SSG’s Class A common stock in the future, SSG’s economic interest in the Partnership will increase relative to that of the Class B, Class C and Class D unitholders.</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3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The accompanying consolidated financial statements are prepared in accordance with accounting principles generally accepted in the United States (“GAAP”). The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w:t>
      </w:r>
    </w:p>
    <w:p>
      <w:pPr>
        <w:spacing w:after="0" w:line="2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assumptions that affect the amounts reported in the consolidated financial statements and accompanying notes. Management’s estimates and assumptions are based on historical experience and other factors, and these estimates and assumptions require management to exercise judgment in the process of applying the Company’s accounting policies. Factors that may affect or influence management’s estimates and assumptions could include expectations related to future events that management has deemed reasonable under the circumstances. Assumptions and estimates related to the valuation of investments, which directly affect carried interest allocations, carried interest related compensation, and the carrying amount of the Company’s equity in affiliated companies, involve a higher degree of judgment and complexity, and these assumptions and estimates may significantly affect the consolidated financial statements. Actual results could differ from these estimates and those differences may be material.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3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9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9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The Company has determined that certain of its operating subsidiaries, including StepStone Group Real Assets LP (“SRA”), StepStone Group Real Estate LP (“SRE”), StepStone Group Private Debt AG (formerly Swiss Capital Alternative Investments AG) (“SPD”),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consolidated balance sheets. The assets of the consolidated VIEs may only be used to settle obligations of the consolidated VIEs. See note 4 for more information on both consolidated and unconsolidated VIEs.</w:t>
      </w:r>
    </w:p>
    <w:p>
      <w:pPr>
        <w:spacing w:after="0" w:line="164"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acquisition of Greenspring Associates Inc. and certain of its affiliates (“Greenspring”) that was completed on September 20, 2021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 and its subsidiaries manages or controls certain entities that constitute client investment funds that have been consolidated in the accompanying consolidated financial statements (“Consolidated Funds”). Including the results of the Consolidated Funds increases the reported amounts of the assets, liabilities, expenses and cash flows in the accompanying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consolidated balance sheets to clearly distinguish between the Company’s interests and the economic interests of third parties and employees in those entities. Net income (loss) attributable to SSG, as reported in the consolidated statements of income (loss), is presented net of the portion of net income (loss) attributable to holders of non-controlling interests. See note 14 for more information on ownership interests in the Company.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legacy Greenspring entities </w:t>
      </w:r>
      <w:r>
        <w:rPr>
          <w:rFonts w:ascii="Times New Roman" w:cs="Times New Roman" w:eastAsia="Times New Roman" w:hAnsi="Times New Roman"/>
          <w:sz w:val="20"/>
          <w:szCs w:val="20"/>
          <w:color w:val="auto"/>
        </w:rPr>
        <w:t>represent the economic interests in the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The Company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78"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the Partnership </w:t>
      </w:r>
      <w:r>
        <w:rPr>
          <w:rFonts w:ascii="Times New Roman" w:cs="Times New Roman" w:eastAsia="Times New Roman" w:hAnsi="Times New Roman"/>
          <w:sz w:val="20"/>
          <w:szCs w:val="20"/>
          <w:color w:val="auto"/>
        </w:rPr>
        <w:t>represent the economic interests related to the Class B, Class C and Class D units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64"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SSG, but are held by the client investors in the funds. These interests are presented as redeemable non-controlling interests in Consolidated Funds within the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8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subsidiaries </w:t>
      </w:r>
      <w:r>
        <w:rPr>
          <w:rFonts w:ascii="Times New Roman" w:cs="Times New Roman" w:eastAsia="Times New Roman" w:hAnsi="Times New Roman"/>
          <w:sz w:val="20"/>
          <w:szCs w:val="20"/>
          <w:color w:val="auto"/>
        </w:rPr>
        <w:t>represent the redeemable economic interests in the consolidated subsidiaries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Partnership held by third parties and employees in those entities that were established in connection with the Transaction Agreements as described in note 14.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Accounting for Differing Fiscal Periods</w:t>
      </w:r>
    </w:p>
    <w:p>
      <w:pPr>
        <w:spacing w:after="0" w:line="22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does not account for management and advisory fees or incentive fees on a three-month lag.</w:t>
      </w:r>
    </w:p>
    <w:p>
      <w:pPr>
        <w:spacing w:after="0" w:line="229"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To the extent that management becomes aware of any material events that affect the StepStone Funds during the three-month lag period, the effect of the events would be disclosed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In 2024, signs of easing inflation coupled with the expansion of economic activity at a sustained pace and low unemployment rates contributed to positive returns in most financial markets despite inflation remaining elevated. Between September 2024 and December 2024, the Federal Reserve announced several decisions to lower the target range for the federal funds rate ultimately to a range of 4.25% to 4.50% in response to positive trends in economic data, including a measure of inflation. In 2025, financial markets experienced significant volatility largely in response to the uncertainty of the economic impact from U.S. trade policy developments including announcement of the implementation of increases on tariffs charged by the U.S. on certain imports. The U.S. economy experienced a slowdown, moving from expansion in the last quarter of 2024 to a slight contraction in the first quarter of 2025.</w:t>
      </w:r>
    </w:p>
    <w:p>
      <w:pPr>
        <w:spacing w:after="0" w:line="19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is continuing to closely monitor developments related to inflation, decreasing but still elevated interest rates, trade, regulatory and other governmental policy, banking system volatility, geopolitical tension, unrest or conflicts, including in or with China, Russia, Ukraine, and the Middle East,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the Company’s consolidated financial statements.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220"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Cash and cash equivalents include cash held in banks, money market funds and highly-liquid investments with original maturities of three months or less at the time of purchase.</w:t>
      </w:r>
    </w:p>
    <w:p>
      <w:pPr>
        <w:spacing w:after="0" w:line="146"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Restricted cash consists of cash that the Company is contractually obligated to maintain to secure its letters of credit used primarily related to its office facilities and other obligations.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Cash and Cash Equivalents of Consolidated Funds</w:t>
      </w:r>
    </w:p>
    <w:p>
      <w:pPr>
        <w:spacing w:after="0" w:line="233" w:lineRule="exact"/>
        <w:rPr>
          <w:sz w:val="20"/>
          <w:szCs w:val="20"/>
          <w:color w:val="auto"/>
        </w:rPr>
      </w:pPr>
    </w:p>
    <w:p>
      <w:pPr>
        <w:ind w:right="500" w:firstLine="648"/>
        <w:spacing w:after="0" w:line="283" w:lineRule="auto"/>
        <w:rPr>
          <w:sz w:val="20"/>
          <w:szCs w:val="20"/>
          <w:color w:val="auto"/>
        </w:rPr>
      </w:pPr>
      <w:r>
        <w:rPr>
          <w:rFonts w:ascii="Times New Roman" w:cs="Times New Roman" w:eastAsia="Times New Roman" w:hAnsi="Times New Roman"/>
          <w:sz w:val="20"/>
          <w:szCs w:val="20"/>
          <w:color w:val="auto"/>
        </w:rPr>
        <w:t>Cash and cash equivalents held at the Consolidated Funds consist of cash and cash equivalents held by the Consolidated Funds, which, although not legally restricted, is not available to fund the general liquidity needs of the Company.</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Fees and Accounts Receivable</w:t>
      </w:r>
    </w:p>
    <w:p>
      <w:pPr>
        <w:spacing w:after="0" w:line="23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Fees and accounts receivable represent contractual amounts due to the Company for management, advisory and incentive fees, net of allowances as applicable. The Company considers fees and accounts receivable to be fully collectible. Accordingly, no allowance for doubtful accounts has been established as of March 31, 2025 and 2024. If any accounts or portion thereof are deemed uncollectible, such amounts are expensed when that determination is made.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Due from Affiliates</w:t>
      </w:r>
    </w:p>
    <w:p>
      <w:pPr>
        <w:spacing w:after="0" w:line="233" w:lineRule="exact"/>
        <w:rPr>
          <w:sz w:val="20"/>
          <w:szCs w:val="20"/>
          <w:color w:val="auto"/>
        </w:rPr>
      </w:pPr>
    </w:p>
    <w:p>
      <w:pPr>
        <w:ind w:right="520" w:firstLine="648"/>
        <w:spacing w:after="0" w:line="258" w:lineRule="auto"/>
        <w:rPr>
          <w:sz w:val="20"/>
          <w:szCs w:val="20"/>
          <w:color w:val="auto"/>
        </w:rPr>
      </w:pPr>
      <w:r>
        <w:rPr>
          <w:rFonts w:ascii="Times New Roman" w:cs="Times New Roman" w:eastAsia="Times New Roman" w:hAnsi="Times New Roman"/>
          <w:sz w:val="20"/>
          <w:szCs w:val="20"/>
          <w:color w:val="auto"/>
        </w:rPr>
        <w:t>Due from affiliates primarily relates to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See note 13 for further disclosure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3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75"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73" w:lineRule="exact"/>
        <w:rPr>
          <w:sz w:val="20"/>
          <w:szCs w:val="20"/>
          <w:color w:val="auto"/>
        </w:rPr>
      </w:pPr>
    </w:p>
    <w:p>
      <w:pPr>
        <w:ind w:left="640" w:hanging="308"/>
        <w:spacing w:after="0"/>
        <w:tabs>
          <w:tab w:leader="none" w:pos="6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w:t>
      </w:r>
    </w:p>
    <w:p>
      <w:pPr>
        <w:spacing w:after="0" w:line="215" w:lineRule="exact"/>
        <w:rPr>
          <w:rFonts w:ascii="Times New Roman" w:cs="Times New Roman" w:eastAsia="Times New Roman" w:hAnsi="Times New Roman"/>
          <w:sz w:val="20"/>
          <w:szCs w:val="20"/>
          <w:color w:val="auto"/>
        </w:rPr>
      </w:pPr>
    </w:p>
    <w:p>
      <w:pPr>
        <w:ind w:left="660" w:right="120" w:hanging="328"/>
        <w:spacing w:after="0" w:line="258" w:lineRule="auto"/>
        <w:tabs>
          <w:tab w:leader="none" w:pos="6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85" w:lineRule="exact"/>
        <w:rPr>
          <w:rFonts w:ascii="Times New Roman" w:cs="Times New Roman" w:eastAsia="Times New Roman" w:hAnsi="Times New Roman"/>
          <w:sz w:val="20"/>
          <w:szCs w:val="20"/>
          <w:color w:val="auto"/>
        </w:rPr>
      </w:pPr>
    </w:p>
    <w:p>
      <w:pPr>
        <w:ind w:left="660" w:right="380" w:hanging="328"/>
        <w:spacing w:after="0" w:line="261" w:lineRule="auto"/>
        <w:tabs>
          <w:tab w:leader="none" w:pos="6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7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Company considers its cash, cash equivalents, restricted cash, fees and accounts receivable, accounts payable, investments, notes payable, revolving credit facility and contingent consideration obligation balance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obligation balance and see note 9 for additional details regarding the fair value of the Company’s notes payable and revolving credit facility balances.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33"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Investments of Consolidated Funds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consolidated statements of income (loss). In addition, the Consolidated Funds do not consolidate their majority-owned and controlled investments in underlying portfolio companies.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2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9"/>
          <w:szCs w:val="19"/>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Operating lease expense associated with minimum lease payments is recognized on a straight-line basis over the lease term in</w:t>
      </w:r>
    </w:p>
    <w:p>
      <w:pPr>
        <w:spacing w:after="0" w:line="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in the consolidated statements of income (loss). Minimum lease payments for leases with an initial term of twelve months or less are not recorded in the consolidated balance sheets. See note 15 for more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Property and Equipment</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Property and equipment primarily consist of leasehold improvements, furniture, equipment, computer hardware and software and are stated at cost, less accumulated depreciation and amortization, with the net carrying amount included in other assets and receivables in the consolidated balance sheets. Property and equipment are depreciated over their estimated useful lives using the straight-line method, and the corresponding depreciation expense is included in general, administrative and other expenses in the consolidated statements of income (loss). Property and equipment are depreciated over a period of five to seven years. Leasehold improvements are amortized over the shorter of their useful lives or remaining lease terms.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Property and equipment are reviewed for impairment whenever events or changes in circumstances indicate that the carrying amount of an asset or asset group may not be recoverable. The Company did not recognize any impairment charges related to property and equipment during each of the fiscal years ended March 31, 2025, 2024 and 2023.</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Foreign Currency</w:t>
      </w:r>
    </w:p>
    <w:p>
      <w:pPr>
        <w:spacing w:after="0" w:line="233"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The Company consolidates certain entities that have a non-U.S. dollar functional currency. Non-U.S. dollar denominated assets and liabilities are translated using the exchange rates prevailing at the end of each reporting period and income and expenses are translated using the weighted-average exchange rate for each reporting period. Cumulative translation adjustments arising from the translation of non-U.S. dollar denominated entities are included in other comprehensive income (loss) within the consolidated financial statements until realized. Gains and losses resulting from foreign-currency transactions denominated in a currency other than an entity’s functional currency are reported in other income (loss) in the consolidated statements of income (loss). These transaction gains (losses) totaled $(0.4) million, $(1.4) million and $(1.6) million for the years ended March 31, 2025, 2024 and 2023,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Contingent consideration obligations that are elements of consideration transferred are recognized at the acquisition date as part of the fair value transferred in exchange for the acquired business. Contingent consideration arrangements are revalued to fair value each reporting period. Examples of critical estimates in valuing certain of the intangible assets acquired include, but are not limited to, future expected cash inflows and outflows, future fundraising assumptions, expected useful life, discount rates and income tax rates. Acquisition-related costs incurred in connection with a business combination are expensed as incurred and are included in general, administrative and other expenses in the consolidated statements of income (loss).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Intangibles and Goodwill</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March 31, 2025.</w:t>
      </w:r>
    </w:p>
    <w:p>
      <w:pPr>
        <w:spacing w:after="0" w:line="168"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years ended March 31, 2025, 2024 and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9"/>
          <w:szCs w:val="19"/>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 The Company performed annual goodwill impairment assessments as of January 1, 2025 and 2024 and determined that there was no impairment of goodwill as of either date.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Accounting Standards Codification Topic 606 (“ASC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Revenue is recognized in a manner that depicts the transfer of promised goods or services to customers and for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 Management fees include income-based incentive fees, which are based on net investment income of certain funds.</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7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may incur certain costs in connection with satisfying its performance obligations for investment management services</w:t>
      </w:r>
    </w:p>
    <w:p>
      <w:pPr>
        <w:spacing w:after="0" w:line="4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consolidated statements of income (loss). For reimbursable costs incurred in connection with satisfying its performance obligations for administration services, the Company concluded it does not control the services provided by other third parties and, therefore, is acting as agent. Accordingly, the Company records the reimbursement for these costs incurred on a net basis.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earns two types of performance fee revenues: incentive fees and carried interest allocations, as described below.</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from unaffiliated limited partners in the StepStone Funds in which the Company holds an equity interest. The Company is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74"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Legacy Greenspring carried interest allocations </w:t>
      </w:r>
      <w:r>
        <w:rPr>
          <w:rFonts w:ascii="Times New Roman" w:cs="Times New Roman" w:eastAsia="Times New Roman" w:hAnsi="Times New Roman"/>
          <w:sz w:val="20"/>
          <w:szCs w:val="20"/>
          <w:color w:val="auto"/>
        </w:rPr>
        <w:t>reflect the allocation of carried interest to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because it is presumed to have significant influence as the general partner or managing member. Accordingly, legacy Greenspring carried interest allocations are not deemed to be within the scope of ASC 606. The Company does not hold any direct economic interests in the legacy 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9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2025 and 2024, no material amounts for potential clawback obligations had been accrued.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Compensation and Benefits</w:t>
      </w:r>
    </w:p>
    <w:p>
      <w:pPr>
        <w:spacing w:after="0" w:line="21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expense primarily includes salaries, bonuses, employee benefits, cash-based incentive awards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employer-related payroll taxes. Bonuses are accrued over the service period in which they are earned. Expense for cash-based incentive awards granted to employees is recognized and adjusted to fair value over the vesting period to track the performance for one of the Company’s designated investment funds. For the year ended March 31, 2025, the Company granted cash-based incentive awards valued at $2.0 million to employees of the Company which vest over four years in equal installments subject to continued service through the vesting date. The Company recognized $42 thousand of expense related to cash-based incentive awards for the year ended March 31, 2025. There were no cash-based incentive awards granted prior to fiscal 2025.</w:t>
      </w:r>
    </w:p>
    <w:p>
      <w:pPr>
        <w:spacing w:after="0" w:line="17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equity-based awards or arrangements to certain employees and directors.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accounts for grants of equity-based awards, including service-based restricted stock units (“RSUs”) and performance-based RSUs (or “PRSUs”), to certain employees and directors at fair value as of the grant date. The Company recognizes non-cash compensation expense attributable to these grants on a straight-line basis over the requisite service and performance period, which is generally the vesting period. Expense related to grants of PRSUs is recognized only to the extent the performance condition is achieved, and the estimated quantity of awards for which it is probable that the performance condition will be achieved is reevaluated each reporting period. Expense related to grants of equity-based awards is recognized as equity-based compensation expense in the consolidated statements of income (loss). The fair value of RSUs and PRSUs is determined by the closing stock price on the grant date. Forfeitures of equity-based awards are recognized as they occur. Awards classified as liabilities are remeasured at the end of each reporting period until settlement. Equity-based compensation cost for the employee stock purchase plan (“ESPP”) is measured as the discount the employee receives upon purchase of shares and the option value of a share when the offering contains a look-back option feature. See note 10 for additional information regarding the Company’s accounting for equity-based awards.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Performance fee-related compensation </w:t>
      </w:r>
      <w:r>
        <w:rPr>
          <w:rFonts w:ascii="Times New Roman" w:cs="Times New Roman" w:eastAsia="Times New Roman" w:hAnsi="Times New Roman"/>
          <w:sz w:val="20"/>
          <w:szCs w:val="20"/>
          <w:color w:val="auto"/>
        </w:rPr>
        <w:t>represents the portion of carried interest allocation revenue and incentive fees that have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awarded to employees as a form of long-term incentive compensation. Performance fee-related compensation is generally tied to the investment performance of the StepStone Funds. </w:t>
      </w:r>
      <w:r>
        <w:rPr>
          <w:rFonts w:ascii="Times New Roman" w:cs="Times New Roman" w:eastAsia="Times New Roman" w:hAnsi="Times New Roman"/>
          <w:sz w:val="20"/>
          <w:szCs w:val="20"/>
          <w:color w:val="231F20"/>
        </w:rPr>
        <w:t>Approximately 50% of carried interest allocation revenue is awarded to employees as part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of the Company’s long-term incentive compensation plan. Carried interest-related compensation is accounted for as compensation expense in conjunction with the related carried interest allocation revenue and, until paid, is recorded as a component of accrued carried interest-related compensation in the consolidated balance sheets.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w:t>
      </w:r>
      <w:r>
        <w:rPr>
          <w:rFonts w:ascii="Times New Roman" w:cs="Times New Roman" w:eastAsia="Times New Roman" w:hAnsi="Times New Roman"/>
          <w:sz w:val="20"/>
          <w:szCs w:val="20"/>
          <w:color w:val="000000"/>
        </w:rPr>
        <w:t>in accordance with the applicable governing agreement.</w:t>
      </w:r>
      <w:r>
        <w:rPr>
          <w:rFonts w:ascii="Times New Roman" w:cs="Times New Roman" w:eastAsia="Times New Roman" w:hAnsi="Times New Roman"/>
          <w:sz w:val="20"/>
          <w:szCs w:val="20"/>
          <w:color w:val="231F20"/>
        </w:rPr>
        <w:t xml:space="preserve"> On April 1, 2024, certain of the Company’s non-wholly 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 The class of interests relating to awards of carried interest allocations granted to employees were previously presented as carried interest-related compensation expense.</w:t>
      </w:r>
    </w:p>
    <w:p>
      <w:pPr>
        <w:spacing w:after="0" w:line="20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entirely payable to certain employees. Legacy Greenspring </w:t>
      </w:r>
      <w:r>
        <w:rPr>
          <w:rFonts w:ascii="Times New Roman" w:cs="Times New Roman" w:eastAsia="Times New Roman" w:hAnsi="Times New Roman"/>
          <w:sz w:val="20"/>
          <w:szCs w:val="20"/>
          <w:color w:val="231F20"/>
        </w:rPr>
        <w:t>carried interest-related compensation is accounted for as compensation expense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conjunction with the related legacy Greenspring carried interest allocation revenue and, until paid, is recorded as a component of legacy Greenspring accrued carried interest-related compensation in the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General, Administrative and Other</w:t>
      </w:r>
    </w:p>
    <w:p>
      <w:pPr>
        <w:spacing w:after="0" w:line="229" w:lineRule="exact"/>
        <w:rPr>
          <w:sz w:val="20"/>
          <w:szCs w:val="20"/>
          <w:color w:val="auto"/>
        </w:rPr>
      </w:pPr>
    </w:p>
    <w:p>
      <w:pPr>
        <w:ind w:right="36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amortization of intangible assets, system-related costs, and other general costs associated with operating the Company’s business. Beginning in the quarter ended December 31, 2022, general, administrative and other includes costs associated with the Consolidated Funds. Expenses of the Consolidated Funds have no impact on net income or loss attributable to the Company to the extent such expenses are borne by third-party investors.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Investment income (loss) </w:t>
      </w:r>
      <w:r>
        <w:rPr>
          <w:rFonts w:ascii="Times New Roman" w:cs="Times New Roman" w:eastAsia="Times New Roman" w:hAnsi="Times New Roman"/>
          <w:sz w:val="20"/>
          <w:szCs w:val="20"/>
          <w:color w:val="auto"/>
        </w:rPr>
        <w:t>primarily represents the share of earnings (losses) from the investments the Company makes in its SMAs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focused commingled funds. The Company, either directly or through its subsidiaries, generally has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The Company’s co-investment funds invest in underlying portfolio companies and therefore their valuation changes from period to period are more influenced by individual companies than the Company’s primary and secondary funds, which have exposures across multiple portfolio companies in underlying private markets funds. The Company’s SMAs and focused commingled funds invest across various industries, strategies and geographies. Consequently, the Company’s general partner investments do not include any significant concentrations in a specific sector or geography outside the United States. Investment income excludes carried interest allocations, which are presented as revenues as described above.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Legacy Greenspring investment income (loss) </w:t>
      </w:r>
      <w:r>
        <w:rPr>
          <w:rFonts w:ascii="Times New Roman" w:cs="Times New Roman" w:eastAsia="Times New Roman" w:hAnsi="Times New Roman"/>
          <w:sz w:val="20"/>
          <w:szCs w:val="20"/>
          <w:color w:val="231F20"/>
        </w:rPr>
        <w:t>represents the share of earnings (losses) from the investments the Company makes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certain legacy Greenspring funds through the legacy Greenspring general partner entities. The Company has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cash equivalents, restricted cash, and amounts associated with the Consolidated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Funds.</w:t>
      </w:r>
    </w:p>
    <w:p>
      <w:pPr>
        <w:spacing w:after="0" w:line="203" w:lineRule="exact"/>
        <w:rPr>
          <w:sz w:val="20"/>
          <w:szCs w:val="20"/>
          <w:color w:val="auto"/>
        </w:rPr>
      </w:pPr>
    </w:p>
    <w:p>
      <w:pPr>
        <w:ind w:right="50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and the Notes, as well as the related amortization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deferred financing costs.</w:t>
      </w:r>
    </w:p>
    <w:p>
      <w:pPr>
        <w:spacing w:after="0" w:line="165"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non-operating activities,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 Fiscal 2025 reflects a non-operating loss associated with payment made in connection with a secondary transaction executed by one of our private wealth funds of $32.5 million.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2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(loss). As a result, the Partnership does not record U.S. federal and state income taxes on income in the Partnership or its subsidiaries, except for certain local and foreign income taxes discussed above.</w:t>
      </w:r>
    </w:p>
    <w:p>
      <w:pPr>
        <w:spacing w:after="0" w:line="19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consolidated balance sheets. The principal items giving rise to temporary differences are certain basis differences resulting from exchanges of Partnership units. See Tax Receivable Agreements below.</w:t>
      </w:r>
    </w:p>
    <w:p>
      <w:pPr>
        <w:spacing w:after="0" w:line="17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The Company is subject to the provisions of ASC Subtopic 740-10, </w:t>
      </w:r>
      <w:r>
        <w:rPr>
          <w:rFonts w:ascii="Times New Roman" w:cs="Times New Roman" w:eastAsia="Times New Roman" w:hAnsi="Times New Roman"/>
          <w:sz w:val="20"/>
          <w:szCs w:val="20"/>
          <w:i w:val="1"/>
          <w:iCs w:val="1"/>
          <w:color w:val="auto"/>
        </w:rPr>
        <w:t>Accounting for Uncertainty in Income Taxes</w:t>
      </w:r>
      <w:r>
        <w:rPr>
          <w:rFonts w:ascii="Times New Roman" w:cs="Times New Roman" w:eastAsia="Times New Roman" w:hAnsi="Times New Roman"/>
          <w:sz w:val="20"/>
          <w:szCs w:val="20"/>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respectively, in the consolidated statements of income (loss). See note 11 for more information.</w:t>
      </w:r>
    </w:p>
    <w:p>
      <w:pPr>
        <w:spacing w:after="0" w:line="192"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earned by foreign subsidiaries in the period the tax is incurred.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tax expense and in evaluating tax positions, including evaluating uncertainties under GAAP.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reviews its tax positions quarterly and adjusts its tax balances as new information becomes available.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2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SSG has entered into an Exchanges Tax Receivable Agreement (the “Exchanges Tax Receivable Agreement”) with the Class B limited partners, Class C limited partners and Class D limited partners, and a Reorganization Tax Receivable Agreement with certain pre-IPO institutional investors (collectively,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 See note 14 for more information.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w:t>
      </w:r>
    </w:p>
    <w:p>
      <w:pPr>
        <w:spacing w:after="0" w:line="22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defined benefit plan,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3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 See note 17 for more information.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Concentrations of Risk</w:t>
      </w:r>
    </w:p>
    <w:p>
      <w:pPr>
        <w:spacing w:after="0" w:line="233"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or other risks consist principally of cash, cash equivalents, restricted cash, investments and fees receivable. The majority of the Company’s cash, cash equivalents and restricted cash is held in large, high credit quality financial institutions. Substantially all cash amounts on deposit with these large financial institutions exceeded federally insured limits at March 31, 2025 and 2024. The Company actively monitors its banking relationships and periodically performs an assessment of the financial condition and the reputations of these financial institutions. Based on these results, management believes that the Company’s exposure to credit risk is remote. The concentration of credit risk related to fees receivable is generally reduced by the relatively short payment terms extended to the Company’s clients.</w:t>
      </w:r>
    </w:p>
    <w:p>
      <w:pPr>
        <w:spacing w:after="0" w:line="19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Amounts due to the Company in the form of carried interest allocations, which are reported as a component of investments in the consolidated balance sheets, remain subject to investment performance risk. In certain cases, carried interest allocations that have been distributed to the Company may remain subject to clawback, pursuant to the terms of the governing documents of the related funds. Refer to the discussion of carried interest above in this note 2 for additional details regarding the investment performance and clawback risk associated with carried interest allocations that have been recognized in income by the Company and/or recorded as accrued carried interest allocations in the consolidated balance sheets.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consolidated financial statements.</w:t>
      </w:r>
    </w:p>
    <w:p>
      <w:pPr>
        <w:spacing w:after="0" w:line="1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i w:val="1"/>
          <w:iCs w:val="1"/>
          <w:color w:val="auto"/>
        </w:rPr>
        <w:t>Segment Reporting (Topic 280): Improvements to Reportable Segment</w:t>
      </w:r>
    </w:p>
    <w:p>
      <w:pPr>
        <w:spacing w:after="0" w:line="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i w:val="1"/>
          <w:iCs w:val="1"/>
          <w:color w:val="auto"/>
        </w:rPr>
        <w:t xml:space="preserve">Disclosures, </w:t>
      </w:r>
      <w:r>
        <w:rPr>
          <w:rFonts w:ascii="Times New Roman" w:cs="Times New Roman" w:eastAsia="Times New Roman" w:hAnsi="Times New Roman"/>
          <w:sz w:val="19"/>
          <w:szCs w:val="19"/>
          <w:color w:val="auto"/>
        </w:rPr>
        <w:t>which amends current guidance for reportable segment disclosure requirements. The updated disclosure requirements include:</w:t>
      </w:r>
    </w:p>
    <w:p>
      <w:pPr>
        <w:spacing w:after="0" w:line="18" w:lineRule="exact"/>
        <w:rPr>
          <w:sz w:val="20"/>
          <w:szCs w:val="20"/>
          <w:color w:val="auto"/>
        </w:rPr>
      </w:pPr>
    </w:p>
    <w:p>
      <w:pPr>
        <w:ind w:firstLine="8"/>
        <w:spacing w:after="0" w:line="250" w:lineRule="auto"/>
        <w:tabs>
          <w:tab w:leader="none" w:pos="2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of segment expenses that are regularly provided to the CODM and included within each reported measure of segment profit or loss, (2) reporting of an amount for other segment items by reportable segment and a description of its composition, (3) reporting in interim periods of all annual disclosures about a reportable segment’s profit or loss and assets as currently required by Topic 280, (4) reporting of one or more additional measures of segment profit or loss if used by the CODM in assessing segment performance and determining allocation of resources, (5) reporting of the title and position of the CODM and an explanation of how the CODM uses the reported measure(s) of segment profit or loss, and (6) the requirement for single reportable segment entities to provide all required disclosures in Topic 280 for annual and interim periods. The amendments are effective for fiscal years beginning after December 15, 2023, and interim periods within fiscal years beginning after December 15, 2024, with early adoption permitted. The Company adopted this guidance on April 1, 2024. See note 17 for further information on segment reporting.</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which amends current guidance to provide expanded disclosure for the rate reconciliation with information about specific categories and reconciling items that meet a specific threshold, and to provide additional information about income taxes paid disaggregated by jurisdiction. The amendments are effective for annual periods beginning after December 15, 2024, with early adoption permitted. The Company does not expect the adoption of this guidance to have a material effect on the consolidated financial statements.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(Subtopic 220-40): Disaggregation of Income Statement Expenses, </w:t>
      </w:r>
      <w:r>
        <w:rPr>
          <w:rFonts w:ascii="Times New Roman" w:cs="Times New Roman" w:eastAsia="Times New Roman" w:hAnsi="Times New Roman"/>
          <w:sz w:val="20"/>
          <w:szCs w:val="20"/>
          <w:color w:val="auto"/>
        </w:rPr>
        <w:t>which amends current guidance to add requirements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disaggregation of certain costs and expenses included within relevant expense captions. The update also requires the separate disclosure of total selling costs. The amendments are effective for annual reporting periods beginning after December 15, 2026, and interim reporting periods beginning after December 15, 2027, with early adoption permitted. The Company is currently evaluating the impact on the consolidated financial statements.</w:t>
      </w:r>
    </w:p>
    <w:p>
      <w:pPr>
        <w:spacing w:after="0" w:line="1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Revenues</w:t>
      </w:r>
    </w:p>
    <w:p>
      <w:pPr>
        <w:spacing w:after="0" w:line="220"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The following presents revenues disaggregated by product offering, which aligns with the Company’s performance obligations and the basis for calculating each amount: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and Advisory Fees,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Focused commingled funds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210,187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and other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 reimbursement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management and advisory fees,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900" w:hanging="652"/>
        <w:spacing w:after="0" w:line="260" w:lineRule="auto"/>
        <w:tabs>
          <w:tab w:leader="none" w:pos="6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income-based incentive fees of $8.0 million, $1.4 million and $0 million for the years ended March 31, 2025, 2024 and 2023,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Fees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incentive fees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Carried Interest Allocations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carried interest allocations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Legacy Greenspring Carried Interest Allocations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(452,163)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legacy Greenspring carried interest allocations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0" w:hanging="652"/>
        <w:spacing w:after="0" w:line="260" w:lineRule="auto"/>
        <w:tabs>
          <w:tab w:leader="none" w:pos="65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March 31, 2025, 2024, and 2023 reflect the net effect of gross realized carried interest allocations of $63.1 million, $59.7 million, and $74.7 million, respectively, and the reversal of such amounts in unrealized carried interest allocations for such periods.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See note 5 for a discussion of changes in carried interest allocations and legacy Greenspring carried interest allocations.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derives revenues from clients located in both the United States and other countries. The table below presents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revenues by geographic location: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29"/>
        </w:trPr>
        <w:tc>
          <w:tcPr>
            <w:tcW w:w="674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(238,441)</w:t>
            </w:r>
          </w:p>
        </w:tc>
      </w:tr>
      <w:tr>
        <w:trPr>
          <w:trHeight w:val="234"/>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 countries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170,867</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460" w:hanging="652"/>
        <w:spacing w:after="0" w:line="260" w:lineRule="auto"/>
        <w:tabs>
          <w:tab w:leader="none" w:pos="6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attributed to countries based on client location for SMAs and advisory and other services, or location of investment vehicle for focused commingled funds.</w:t>
      </w:r>
    </w:p>
    <w:p>
      <w:pPr>
        <w:spacing w:after="0" w:line="177" w:lineRule="exact"/>
        <w:rPr>
          <w:sz w:val="20"/>
          <w:szCs w:val="20"/>
          <w:color w:val="auto"/>
        </w:rPr>
      </w:pPr>
    </w:p>
    <w:p>
      <w:pPr>
        <w:ind w:right="1020" w:firstLine="648"/>
        <w:spacing w:after="0" w:line="283" w:lineRule="auto"/>
        <w:rPr>
          <w:sz w:val="20"/>
          <w:szCs w:val="20"/>
          <w:color w:val="auto"/>
        </w:rPr>
      </w:pPr>
      <w:r>
        <w:rPr>
          <w:rFonts w:ascii="Times New Roman" w:cs="Times New Roman" w:eastAsia="Times New Roman" w:hAnsi="Times New Roman"/>
          <w:sz w:val="20"/>
          <w:szCs w:val="20"/>
          <w:color w:val="auto"/>
        </w:rPr>
        <w:t>For the years ended March 31, 2025, 2024 and 2023, no individual client represented 10% or more of the Company’s net management and advisory fees.</w:t>
      </w:r>
    </w:p>
    <w:p>
      <w:pPr>
        <w:spacing w:after="0" w:line="14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For the years ended March 31, 2025 and 2024, the Company had management and advisory fee revenues attributable to the United States and Cayman Islands, each of which represented 10% or more of the Company’s net management and advisory fees. For the year ended March 31, 2023, the Company had management and advisory fee revenues attributable to the United States, which represented 10% or more of the Company’s net management and advisory fees.</w:t>
      </w:r>
    </w:p>
    <w:p>
      <w:pPr>
        <w:spacing w:after="0" w:line="186" w:lineRule="exact"/>
        <w:rPr>
          <w:sz w:val="20"/>
          <w:szCs w:val="20"/>
          <w:color w:val="auto"/>
        </w:rPr>
      </w:pPr>
    </w:p>
    <w:p>
      <w:pPr>
        <w:ind w:right="320" w:firstLine="648"/>
        <w:spacing w:after="0" w:line="281" w:lineRule="auto"/>
        <w:rPr>
          <w:sz w:val="20"/>
          <w:szCs w:val="20"/>
          <w:color w:val="auto"/>
        </w:rPr>
      </w:pPr>
      <w:r>
        <w:rPr>
          <w:rFonts w:ascii="Times New Roman" w:cs="Times New Roman" w:eastAsia="Times New Roman" w:hAnsi="Times New Roman"/>
          <w:sz w:val="19"/>
          <w:szCs w:val="19"/>
          <w:color w:val="auto"/>
        </w:rPr>
        <w:t>As of March 31, 2025 and 2024, the Company had $26.8 million and $31.0 million, respectively, of deferred revenues, which is included in accounts payable, accrued expenses and other liabilities in the consolidated balance sheets. During the year ended March 31, 2025, the Company had recognized $3.2 million as revenue from amounts included in the deferred revenue balance as of March 31, 2024.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Variable Interest Entities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Consolidated VIEs</w:t>
      </w:r>
    </w:p>
    <w:p>
      <w:pPr>
        <w:spacing w:after="0" w:line="220"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20"/>
          <w:szCs w:val="20"/>
          <w:color w:val="auto"/>
        </w:rPr>
        <w:t>The Company consolidates certain VIEs for which it is the primary beneficiary. Such VIEs consist of certain operating entities not wholly-owned by the Company (e.g., SPD, SRA and SRE), SPW, legacy Greenspring general partner entities and certain StepStone Funds. See note 2 for more information on the Company’s accounting policies related to the consolidation of VIEs. The assets of the consolidated VIEs totaled $1,376.0 million and $995.2 million as of March 31, 2025 and 2024, respectively. The liabilities of the consolidated VIEs totaled $1,278.7 million and $593.7 million as of March 31, 2025 and 2024,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March 31, 2025 and 2024, no material amounts previously distributed have been accrued for clawback liabilities.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Unconsolidated VIEs</w:t>
      </w:r>
    </w:p>
    <w:p>
      <w:pPr>
        <w:spacing w:after="0" w:line="23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0"/>
          <w:szCs w:val="20"/>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consolidated balance sheets with respect to the Company’s interests in VIEs that were not consolidated is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20" w:type="dxa"/>
            <w:vAlign w:val="bottom"/>
            <w:tcBorders>
              <w:bottom w:val="single" w:sz="8" w:color="auto"/>
            </w:tcBorders>
          </w:tcPr>
          <w:p>
            <w:pPr>
              <w:spacing w:after="0"/>
              <w:rPr>
                <w:sz w:val="18"/>
                <w:szCs w:val="18"/>
                <w:color w:val="auto"/>
              </w:rPr>
            </w:pPr>
          </w:p>
        </w:tc>
      </w:tr>
      <w:tr>
        <w:trPr>
          <w:trHeight w:val="211"/>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legacy Greenspring entities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147,042</w:t>
            </w: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exposure to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197,567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144,425</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Investments</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consolidated statements of income.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Method Investments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equity method investments consist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826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Investments in funds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135,043</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1,354,051</w:t>
            </w:r>
          </w:p>
        </w:tc>
      </w:tr>
      <w:tr>
        <w:trPr>
          <w:trHeight w:val="229"/>
        </w:trPr>
        <w:tc>
          <w:tcPr>
            <w:tcW w:w="8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r>
              <w:rPr>
                <w:rFonts w:ascii="Times New Roman" w:cs="Times New Roman" w:eastAsia="Times New Roman" w:hAnsi="Times New Roman"/>
                <w:sz w:val="23"/>
                <w:szCs w:val="23"/>
                <w:color w:val="auto"/>
                <w:vertAlign w:val="superscript"/>
              </w:rPr>
              <w:t>(2)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629,228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631,197</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2,308,586</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2,120,291</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180" w:hanging="652"/>
        <w:spacing w:after="0" w:line="250" w:lineRule="auto"/>
        <w:tabs>
          <w:tab w:leader="none" w:pos="6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investments in funds were $275.7 million and $204.8 million as of March 31, 2025 and 2024, respectively. The consolidation of the Consolidated Funds results in the elimination of the Company’s investments in such funds.</w:t>
      </w:r>
    </w:p>
    <w:p>
      <w:pPr>
        <w:ind w:left="660" w:right="420" w:hanging="652"/>
        <w:spacing w:after="0" w:line="260" w:lineRule="auto"/>
        <w:tabs>
          <w:tab w:leader="none" w:pos="6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investments in funds of $133.5 million and $147.0 million and carried interest allocations of $495.7 million and $484.2 million as of March 31, 2025 and 2024, respectively.</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recognized equity method income (loss)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Carried interest allocations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(452,163)</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 loss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(44,075)</w:t>
            </w:r>
          </w:p>
        </w:tc>
      </w:tr>
      <w:tr>
        <w:trPr>
          <w:trHeight w:val="248"/>
        </w:trPr>
        <w:tc>
          <w:tcPr>
            <w:tcW w:w="6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 method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0"/>
          <w:szCs w:val="20"/>
          <w:color w:val="auto"/>
        </w:rPr>
        <w:t>The increase in carried interest allocations for the year ended March 31, 2025 as compared to the year ended March 31, 2024 was primarily attributable to higher net unrealized appreciation in the fair value of certain underlying fund investments in the Company’s private equity funds. The increase in carried interest allocations for the year ended March 31, 2024 as compared to the year ended March 31, 2023 was primarily attributable to net unrealized appreciation in the fair value of certain underlying fund investments in the Company’s private equity funds as compared to net unrealized depreciation in the prior year period. The increase in legacy Greenspring carried interest allocations for the year ended March 31, 2025 as compared to the year ended March 31, 2024 was primarily attributable to net unrealized appreciation in the fair value of certain underlying fund investments as compared to net unrealized depreciation in the prior year period. The increase in legacy Greenspring carried interest allocations for the year ended March 31, 2024 as compared to the year ended March 31, 2023 was primarily attributable to lower net unrealized depreciation in the fair value of certain underlying fund investments. See note 2 for a discussion of the Company’s accounting policy for investments on a three-month lag.</w:t>
      </w:r>
    </w:p>
    <w:p>
      <w:pPr>
        <w:spacing w:after="0" w:line="19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As of March 31, 2025 and 2024, the Company’s investments in one and two SMAs, respectively, each individually represented 10% or more of the total accrued carried interest allocations balance, and in the aggregate represented approximately 15% and 26%, respectively, of the total accrued carried interest allocations balance as of those dates. As of March 31, 2025 and 2024, the Company’s investments in three commingled funds each individually represented 10% or more of the total legacy Greenspring accrued carried interest allocations balance, and in the aggregate represented approximately 47% and 36%, respectively, of the total legacy Greenspring accrued carried interest allocations balances as of those dates.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Of the total accrued carried interest allocations balance as of March 31, 2025 and 2024, $758.0 million and $719.5 million,</w:t>
      </w:r>
    </w:p>
    <w:p>
      <w:pPr>
        <w:spacing w:after="0" w:line="2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respectively, were payable to affiliates and are included in accrued carried interest-related compensation in the consolidated balance sheets. Of the total legacy Greenspring investments in funds and accrued carried interest allocations balance as of March 31, 2025 and 2024, $495.7 million and $484.2 million, respectively, were payable to employees who are considered affiliates of the Company and are included in legacy Greenspring accrued carried interest-related compensation in the consolidated balance sheets and $133.5 million and $147.0 million, respectively, are reflected as non-controlling interests in legacy Greenspring entities in the consolidated balance sheets.</w:t>
      </w:r>
    </w:p>
    <w:p>
      <w:pPr>
        <w:spacing w:after="0" w:line="196"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The Company evaluates each of its equity method investments to determine if any are considered significant as defined by the SEC. As of March 31, 2025 and 2024 and for the years ended March 31, 2025, 2024 and 2023, no individual equity method investment held by the Company met the significance criteria. As a result, the Company is not required to provide separate financial statements for any of its equity method investments.</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Summarized financial information for the Company’s equity method investments reflected below represents the financial position as of March 31, 2025 and 2024, and the results of operations for the years ended March 31, 2025, 2024 and 2023, which are reported on a three-month lag. Assets are primarily composed of the investments held by the StepStone Funds.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91,879,641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73,311,149</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3,003,340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2,083,509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88,876,301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71,227,640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11"/>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115,092</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(446,413)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 (loss) on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5,215,482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(4,966,901)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(12,261)</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2,592,462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(5,310,483)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 of Consolidated Funds</w:t>
      </w:r>
    </w:p>
    <w:p>
      <w:pPr>
        <w:spacing w:after="0" w:line="233" w:lineRule="exact"/>
        <w:rPr>
          <w:sz w:val="20"/>
          <w:szCs w:val="20"/>
          <w:color w:val="auto"/>
        </w:rPr>
      </w:pPr>
    </w:p>
    <w:p>
      <w:pPr>
        <w:ind w:right="920" w:firstLine="648"/>
        <w:spacing w:after="0" w:line="269" w:lineRule="auto"/>
        <w:rPr>
          <w:sz w:val="20"/>
          <w:szCs w:val="20"/>
          <w:color w:val="auto"/>
        </w:rPr>
      </w:pPr>
      <w:r>
        <w:rPr>
          <w:rFonts w:ascii="Times New Roman" w:cs="Times New Roman" w:eastAsia="Times New Roman" w:hAnsi="Times New Roman"/>
          <w:sz w:val="20"/>
          <w:szCs w:val="20"/>
          <w:color w:val="auto"/>
        </w:rPr>
        <w:t>The Company consolidates funds and entities when it is deemed to hold a controlling financial interest. The activity of the Consolidated Funds is reflected within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Investments held by the Consolidated Funds are summarized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Fair Value as of March 31,</w:t>
            </w:r>
          </w:p>
        </w:tc>
        <w:tc>
          <w:tcPr>
            <w:tcW w:w="240" w:type="dxa"/>
            <w:vAlign w:val="bottom"/>
          </w:tcPr>
          <w:p>
            <w:pPr>
              <w:spacing w:after="0"/>
              <w:rPr>
                <w:sz w:val="16"/>
                <w:szCs w:val="16"/>
                <w:color w:val="auto"/>
              </w:rPr>
            </w:pP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 Total Investments as of</w:t>
            </w:r>
          </w:p>
        </w:tc>
        <w:tc>
          <w:tcPr>
            <w:tcW w:w="0" w:type="dxa"/>
            <w:vAlign w:val="bottom"/>
          </w:tcPr>
          <w:p>
            <w:pPr>
              <w:spacing w:after="0"/>
              <w:rPr>
                <w:sz w:val="1"/>
                <w:szCs w:val="1"/>
                <w:color w:val="auto"/>
              </w:rPr>
            </w:pPr>
          </w:p>
        </w:tc>
      </w:tr>
      <w:tr>
        <w:trPr>
          <w:trHeight w:val="214"/>
        </w:trPr>
        <w:tc>
          <w:tcPr>
            <w:tcW w:w="5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securities (cost of $60.0 million and $15.6 million as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2025 and 2024,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70,178</w:t>
            </w:r>
          </w:p>
        </w:tc>
        <w:tc>
          <w:tcPr>
            <w:tcW w:w="2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Partnership and LLC interests (cost of $257.0 million and</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$76.0 million as of March 31, 2025 and 2024, respectively)</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344,833</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3"/>
        </w:trPr>
        <w:tc>
          <w:tcPr>
            <w:tcW w:w="5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investments of Consolidated Funds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415,011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131,858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2025 and 2024, no individual investment had a fair value greater than 5% of the Company’s total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net realized and unrealized gains (losses) from investment activities of the Consolidated Funds: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r>
      <w:tr>
        <w:trPr>
          <w:trHeight w:val="223"/>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investment income of Consolidated Funds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9,315</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233" w:lineRule="exact"/>
        <w:rPr>
          <w:sz w:val="20"/>
          <w:szCs w:val="20"/>
          <w:color w:val="auto"/>
        </w:rPr>
      </w:pPr>
    </w:p>
    <w:p>
      <w:pPr>
        <w:jc w:val="both"/>
        <w:ind w:right="80" w:firstLine="648"/>
        <w:spacing w:after="0" w:line="269" w:lineRule="auto"/>
        <w:rPr>
          <w:sz w:val="20"/>
          <w:szCs w:val="20"/>
          <w:color w:val="auto"/>
        </w:rPr>
      </w:pPr>
      <w:r>
        <w:rPr>
          <w:rFonts w:ascii="Times New Roman" w:cs="Times New Roman" w:eastAsia="Times New Roman" w:hAnsi="Times New Roman"/>
          <w:sz w:val="20"/>
          <w:szCs w:val="20"/>
          <w:color w:val="auto"/>
        </w:rPr>
        <w:t>The Company measures certain assets and liabilities at fair value on a recurring basis. The following tables provide details regarding the classification of these assets and liabilities within the fair value hierarchy as of the dates presented: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the Company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1"/>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years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the Company are set forth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Year Ended March 31,</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Contingent consideration obligation</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36,745</w:t>
            </w:r>
          </w:p>
        </w:tc>
      </w:tr>
      <w:tr>
        <w:trPr>
          <w:trHeight w:val="230"/>
        </w:trPr>
        <w:tc>
          <w:tcPr>
            <w:tcW w:w="8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29"/>
        </w:trPr>
        <w:tc>
          <w:tcPr>
            <w:tcW w:w="8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16,809</w:t>
            </w:r>
          </w:p>
        </w:tc>
      </w:tr>
      <w:tr>
        <w:trPr>
          <w:trHeight w:val="229"/>
        </w:trPr>
        <w:tc>
          <w:tcPr>
            <w:tcW w:w="84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35"/>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unrealized losses included in earnings related to financial liabilities as of reporting date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22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The fair value of the contingent consideration obligation was based on a discounted cash flow analysis using a probability-weighted average estimate of certain performance targets, including revenue levels. The significant unobservable inputs required to value the contingent consideration obligation primarily related to the future expected revenues and the discount rate applied to the expected future revenues and payments of obligations. The management fee revenue target for calendar year 2024 was achieved resulting in the full earn-out amount of $75.0 million, which was fully paid prior to March 31, 2025. In accordance with the contingent consideration arrangement, a portion of the contingent earn-out liability otherwise payable to the sellers included amounts paid to certain of the Company’s employees and former employees during the year ended March 31, 2025. As a result, the contingent consideration liability was settled net of $5.8 million paid. The contingent consideration obligation was included in accounts payable, accrued expenses and other liabilities in the consolidated balance sheets as of March 31, 2024. Changes in the fair value of the liabilities are included in general, administrative and other expenses in the consolidated statements of income (loss).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Consolidated Funds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52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Level III</w:t>
            </w: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63,664</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64,530</w:t>
            </w: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4"/>
        </w:trPr>
        <w:tc>
          <w:tcPr>
            <w:tcW w:w="5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6"/>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w:t>
            </w: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460" w:firstLine="648"/>
        <w:spacing w:after="0" w:line="283"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years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generally values its investment funds, which are generally organized as partnership and LLC interests, using the NAV</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 share equivalent calculated by the investment manager as a practical expedient in determining an independent fair value. The Company</w:t>
      </w:r>
    </w:p>
    <w:p>
      <w:pPr>
        <w:spacing w:after="0" w:line="225" w:lineRule="auto"/>
        <w:rPr>
          <w:sz w:val="20"/>
          <w:szCs w:val="20"/>
          <w:color w:val="auto"/>
        </w:rPr>
      </w:pPr>
      <w:r>
        <w:rPr>
          <w:rFonts w:ascii="Times New Roman" w:cs="Times New Roman" w:eastAsia="Times New Roman" w:hAnsi="Times New Roman"/>
          <w:sz w:val="20"/>
          <w:szCs w:val="20"/>
          <w:color w:val="auto"/>
        </w:rPr>
        <w:t>does not categorize within the fair value hierarchy investments where fair value is measured using the net asset value per share practical</w:t>
      </w:r>
    </w:p>
    <w:p>
      <w:pPr>
        <w:spacing w:after="0"/>
        <w:rPr>
          <w:sz w:val="20"/>
          <w:szCs w:val="20"/>
          <w:color w:val="auto"/>
        </w:rPr>
      </w:pPr>
      <w:r>
        <w:rPr>
          <w:rFonts w:ascii="Times New Roman" w:cs="Times New Roman" w:eastAsia="Times New Roman" w:hAnsi="Times New Roman"/>
          <w:sz w:val="20"/>
          <w:szCs w:val="20"/>
          <w:color w:val="auto"/>
        </w:rPr>
        <w:t>expedient. As of March 31, 2025 and 2024, investments with a combined fair value of $350.5 million and $118.2 million, respectively, are</w:t>
      </w:r>
    </w:p>
    <w:p>
      <w:pPr>
        <w:spacing w:after="0" w:line="225" w:lineRule="auto"/>
        <w:rPr>
          <w:sz w:val="20"/>
          <w:szCs w:val="20"/>
          <w:color w:val="auto"/>
        </w:rPr>
      </w:pPr>
      <w:r>
        <w:rPr>
          <w:rFonts w:ascii="Times New Roman" w:cs="Times New Roman" w:eastAsia="Times New Roman" w:hAnsi="Times New Roman"/>
          <w:sz w:val="20"/>
          <w:szCs w:val="20"/>
          <w:color w:val="auto"/>
        </w:rPr>
        <w:t>excluded from presentation in the fair value hierarchy as the fair value of these investments were measured at net asset value. As of</w:t>
      </w:r>
    </w:p>
    <w:p>
      <w:pPr>
        <w:spacing w:after="0"/>
        <w:rPr>
          <w:sz w:val="20"/>
          <w:szCs w:val="20"/>
          <w:color w:val="auto"/>
        </w:rPr>
      </w:pPr>
      <w:r>
        <w:rPr>
          <w:rFonts w:ascii="Times New Roman" w:cs="Times New Roman" w:eastAsia="Times New Roman" w:hAnsi="Times New Roman"/>
          <w:sz w:val="20"/>
          <w:szCs w:val="20"/>
          <w:color w:val="auto"/>
        </w:rPr>
        <w:t>March 31, 2025 and 2024, investments with a combined fair value of $64.5 million and $13.7 million, respectively, were classified as Level</w:t>
      </w:r>
    </w:p>
    <w:p>
      <w:pPr>
        <w:ind w:right="80" w:firstLine="8"/>
        <w:spacing w:after="0" w:line="236" w:lineRule="auto"/>
        <w:tabs>
          <w:tab w:leader="none" w:pos="24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Depending on the valuation technique, the significant unobservable input used to value these investments classified as Level III could be the enterprise value to revenue multiple or the discounts to recent transaction prices or recent round of financing.</w:t>
      </w:r>
    </w:p>
    <w:p>
      <w:pPr>
        <w:spacing w:after="0" w:line="201"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Consolidated Funds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4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Instruments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24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29"/>
        </w:trPr>
        <w:tc>
          <w:tcPr>
            <w:tcW w:w="8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Transfers into Level III</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29"/>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Transfers out of Level III</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r>
      <w:tr>
        <w:trPr>
          <w:trHeight w:val="230"/>
        </w:trPr>
        <w:tc>
          <w:tcPr>
            <w:tcW w:w="8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38,369</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r>
      <w:tr>
        <w:trPr>
          <w:trHeight w:val="229"/>
        </w:trPr>
        <w:tc>
          <w:tcPr>
            <w:tcW w:w="81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64,530</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unrealized gains included in earnings related to financial assets still held at the reporting date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Property and Equipment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Property and equipment is included in other assets and receivables in the consolidated balance sheets and consists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Office furniture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29,558</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Depreciation expense related to property and equipment totaled $4.5 million, $5.2 million and $4.0 million for the years ended March 31, 2025, 2024 and 2023, respectively, and is included in general, administrative and other expenses in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Intangibles and Goodwill</w:t>
      </w:r>
    </w:p>
    <w:p>
      <w:pPr>
        <w:spacing w:after="0" w:line="233" w:lineRule="exact"/>
        <w:rPr>
          <w:sz w:val="20"/>
          <w:szCs w:val="20"/>
          <w:color w:val="auto"/>
        </w:rPr>
      </w:pPr>
    </w:p>
    <w:p>
      <w:pPr>
        <w:ind w:right="980" w:firstLine="648"/>
        <w:spacing w:after="0" w:line="269" w:lineRule="auto"/>
        <w:rPr>
          <w:sz w:val="20"/>
          <w:szCs w:val="20"/>
          <w:color w:val="auto"/>
        </w:rPr>
      </w:pPr>
      <w:r>
        <w:rPr>
          <w:rFonts w:ascii="Times New Roman" w:cs="Times New Roman" w:eastAsia="Times New Roman" w:hAnsi="Times New Roman"/>
          <w:sz w:val="20"/>
          <w:szCs w:val="20"/>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consists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(143,779)</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263,872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304,873</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20"/>
          <w:szCs w:val="20"/>
          <w:color w:val="auto"/>
        </w:rPr>
        <w:t>Amortization expense related to intangible assets was $41.0 million, $42.4 million and $43.5 million for the years ended March 31, 2025, 2024 and 2023, respectively. These amounts are included in general, administrative and other expenses in the consolidated statements of income (loss).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At March 31, 2025, the expected future amortization of finite-lived intangible assets is as follows:</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7"/>
        </w:trPr>
        <w:tc>
          <w:tcPr>
            <w:tcW w:w="9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March 31,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60,009</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263,872</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820" w:firstLine="648"/>
        <w:spacing w:after="0" w:line="283" w:lineRule="auto"/>
        <w:rPr>
          <w:sz w:val="20"/>
          <w:szCs w:val="20"/>
          <w:color w:val="auto"/>
        </w:rPr>
      </w:pPr>
      <w:r>
        <w:rPr>
          <w:rFonts w:ascii="Times New Roman" w:cs="Times New Roman" w:eastAsia="Times New Roman" w:hAnsi="Times New Roman"/>
          <w:sz w:val="20"/>
          <w:szCs w:val="20"/>
          <w:color w:val="auto"/>
        </w:rPr>
        <w:t>The carrying value of goodwill was $580.5 million as of March 31, 2025 and 2024. The Company determined there was no indication of goodwill impairment as of March 31, 2025 and 2024.</w:t>
      </w:r>
    </w:p>
    <w:p>
      <w:pPr>
        <w:spacing w:after="0" w:line="1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Debt Obligations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debt obligations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2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senior notes</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remaining principal</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obligations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269,268</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23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the Partnership issued $175.0 million aggregate principal amount of its 5.52% Series A senior notes due October 22, 2029 (the “Notes”), pursuant to a note purchase agreement, dated as of October 22, 2024 (the “Note Purchase Agreement”), in a private placement exempt from registration under the Securities Act.</w:t>
      </w:r>
    </w:p>
    <w:p>
      <w:pPr>
        <w:spacing w:after="0" w:line="16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is be payable semi-annually in arrears on April 22 and October 22 of each year, commencing on April 22, 2025. Interest on the Notes accrues from and including October 22, 2024. The Notes will mature on October 22, 2029. The Partnership may, at its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fair value of the Notes, which are recorded at amortized cost, is classified as a Level III valuation within the fair value hierarchy. As of March 31, 2025, the carrying value of the Notes, net of debt issuance costs, approximated fair value. There were no Notes outstanding as of March 31, 2024.</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20"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0"/>
          <w:szCs w:val="20"/>
          <w:color w:val="auto"/>
        </w:rPr>
        <w:t>The Company is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the administrative agent and collateral agent, and certain other lenders party thereto and provides for a $300.0 million multicurrency revolving credit facility (the “Revolver”).</w:t>
      </w:r>
    </w:p>
    <w:p>
      <w:pPr>
        <w:spacing w:after="0" w:line="17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The Company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March 31, 2025 was 6.48%.</w:t>
      </w:r>
    </w:p>
    <w:p>
      <w:pPr>
        <w:spacing w:after="0" w:line="178"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4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81" w:lineRule="exact"/>
        <w:rPr>
          <w:sz w:val="20"/>
          <w:szCs w:val="20"/>
          <w:color w:val="auto"/>
        </w:rPr>
      </w:pPr>
    </w:p>
    <w:p>
      <w:pPr>
        <w:jc w:val="both"/>
        <w:ind w:right="500" w:firstLine="648"/>
        <w:spacing w:after="0" w:line="261" w:lineRule="auto"/>
        <w:rPr>
          <w:sz w:val="20"/>
          <w:szCs w:val="20"/>
          <w:color w:val="auto"/>
        </w:rPr>
      </w:pPr>
      <w:r>
        <w:rPr>
          <w:rFonts w:ascii="Times New Roman" w:cs="Times New Roman" w:eastAsia="Times New Roman" w:hAnsi="Times New Roman"/>
          <w:sz w:val="20"/>
          <w:szCs w:val="20"/>
          <w:color w:val="auto"/>
        </w:rPr>
        <w:t>The Company can use available funding capacity under the Revolver to satisfy letters of credit in amounts up to $10.0 million. Amounts used to satisfy the letters of credit reduce the available capacity under the Revolver. As of March 31, 2025, the Company had outstanding letters of credit totaling $6.5 million.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Obligations of Consolidated Funds</w:t>
      </w:r>
    </w:p>
    <w:p>
      <w:pPr>
        <w:spacing w:after="0" w:line="220"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Certain Consolidated Funds may maintain revolving credit facilities that are secured by fund assets to fund investments on a short-term basis. The debt obligations of the Consolidated Funds are non-recourse to the Company.</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In December 2024, one of the Company’s consolidated investment funds entered into a credit agreement with Northern Trust Global Service SE (the “Fund Credit Facility”). The Fund Credit Facility provides for a multi-currency revolving credit facility of up to</w:t>
      </w:r>
    </w:p>
    <w:p>
      <w:pPr>
        <w:spacing w:after="0" w:line="1" w:lineRule="exact"/>
        <w:rPr>
          <w:sz w:val="20"/>
          <w:szCs w:val="20"/>
          <w:color w:val="auto"/>
        </w:rPr>
      </w:pPr>
    </w:p>
    <w:p>
      <w:pPr>
        <w:ind w:right="720"/>
        <w:spacing w:after="0" w:line="253" w:lineRule="auto"/>
        <w:rPr>
          <w:sz w:val="20"/>
          <w:szCs w:val="20"/>
          <w:color w:val="auto"/>
        </w:rPr>
      </w:pPr>
      <w:r>
        <w:rPr>
          <w:rFonts w:ascii="Times New Roman" w:cs="Times New Roman" w:eastAsia="Times New Roman" w:hAnsi="Times New Roman"/>
          <w:sz w:val="20"/>
          <w:szCs w:val="20"/>
          <w:color w:val="auto"/>
        </w:rPr>
        <w:t>$125.0 million. Amounts drawn under the facility must be repaid within 180 days. As of March 31, 2025, there were no outstanding borrowings on the Fund Credit Facility.</w:t>
      </w:r>
    </w:p>
    <w:p>
      <w:pPr>
        <w:spacing w:after="0" w:line="188"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0"/>
          <w:szCs w:val="20"/>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w:t>
      </w:r>
    </w:p>
    <w:p>
      <w:pPr>
        <w:spacing w:after="0" w:line="17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Fund Credit Facility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Senior Notes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The Note Purchase Agreement contains certain covenants, including those requiring the Company to (a) maintain a total net leverage ratio, (b) maintain a minimum total of fee-earning assets under management, (c) cause at least 80% of all management fees payable by material subsidiaries to the Company to be collected each period without deferral, waiver or reduction, (d) limit the amount of secured indebtedness to be incurred by the Company,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220"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the Company to maintain a total net leverage ratio and a minimum total of fee-earning assets under management.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Fund Credit Facility</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2025, the Company was in compliance with the covenants under its various debt agreements.</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Equity-Based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2020 Long-Term Incentive Plan</w:t>
      </w:r>
    </w:p>
    <w:p>
      <w:pPr>
        <w:spacing w:after="0" w:line="22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The Company has adopted its 2020 Long-Term Incentive Plan (“LTIP”), which allows for the granting of stock options, stock appreciation rights, restricted stock awards, RSUs and performance stock awards to employees, directors and consultants. As of March 31, 2025, there were 28,103,332 shares of Class A common stock available to grant under the LTIP.</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23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RSUs represent the right to receive payment on the date of vesting in the form of one share of Class A common stock for each RSU. Holders of unvested RSUs do not have the right to vote with the underlying shares of Class A common stock, but are entitled to accrue dividend equivalents which are generally paid in cash when such RSUs vest. The RSUs granted generally vest over four years in equal annual installments. Upon vesting, the Company will typically withhold or cause the participant to sell the number of shares to satisfy the statutory withholding tax obligation and deliver the net number of resulting shares vested.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RSUs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Date Fair Value Per 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27.12</w:t>
            </w: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center"/>
              <w:ind w:left="1313"/>
              <w:spacing w:after="0"/>
              <w:rPr>
                <w:sz w:val="20"/>
                <w:szCs w:val="20"/>
                <w:color w:val="auto"/>
              </w:rPr>
            </w:pPr>
            <w:r>
              <w:rPr>
                <w:rFonts w:ascii="Times New Roman" w:cs="Times New Roman" w:eastAsia="Times New Roman" w:hAnsi="Times New Roman"/>
                <w:sz w:val="18"/>
                <w:szCs w:val="18"/>
                <w:color w:val="auto"/>
                <w:w w:val="98"/>
              </w:rPr>
              <w:t>53.60</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42.28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20"/>
          <w:szCs w:val="20"/>
          <w:color w:val="auto"/>
        </w:rPr>
        <w:t>The weighted-average grant-date fair value of RSUs granted during the years ended March 31, 2025, 2024, and 2023 was $53.60, $35.07, and $28.97, respectively. The total fair value as of the respective vesting dates of RSUs vested during the years ended March 31, 2025, 2024 and 2023 was $48.9 million, $24.3 million and $16.5 million,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Units</w:t>
      </w:r>
    </w:p>
    <w:p>
      <w:pPr>
        <w:spacing w:after="0" w:line="220"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In March 2025, the Company granted PRSUs to certain employees that are subject to both performance-based and service-based vesting conditions. The vesting of the awards is subject to achievement of an annual income contribution target for any fiscal year within a five-year performance period and continued employment through the date the performance target is certified at the end of the fiscal year in which the target is achieved. The performance target may be met in any fiscal year within the five-year performance period, and the vesting date will occur at the end of the fiscal year period in which the target is achieved. If the performance target is not met by the end of the performance period, the awards will immediately be forfeited. Compensation cost is recognized over the requisite service period if it is probable that the performance condition will be satisfied.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PRSUs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Number of PRSUs</w:t>
            </w:r>
          </w:p>
        </w:tc>
        <w:tc>
          <w:tcPr>
            <w:tcW w:w="120" w:type="dxa"/>
            <w:vAlign w:val="bottom"/>
          </w:tcPr>
          <w:p>
            <w:pPr>
              <w:spacing w:after="0"/>
              <w:rPr>
                <w:sz w:val="16"/>
                <w:szCs w:val="16"/>
                <w:color w:val="auto"/>
              </w:rPr>
            </w:pPr>
          </w:p>
        </w:tc>
        <w:tc>
          <w:tcPr>
            <w:tcW w:w="198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Date Fair Value Per PRSU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Unvested Partnership Units</w:t>
      </w:r>
    </w:p>
    <w:p>
      <w:pPr>
        <w:spacing w:after="0" w:line="23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auto"/>
        </w:rPr>
        <w:t>In June 2018, the Company issued an aggregate of 5.2% of profits interests (the “Class B2 Interests”) in the Company to certain key employees. These Class B2 Interests provide the recipients with an opportunity to participate in the profits of the Company and proceeds of certain capital events. The Class B2 Interests vest over a period of six years from the grant date, subject to an employee’s continuous service with the Company through the applicable vesting date. Under the terms of the Fifth Amended and Restated Limited Partnership Agreement dated March 8, 2018, the vesting of the awards will occur as follows: (i) 0% during the first three years from the date of issuance, (ii) 30.0% on the third anniversary of the date of issuance, and (iii) 5.8% for each fiscal quarter after the third anniversary of the date of issuance (fully vested on the sixth anniversary of the date of issuance, or June 2024). Upon the final vesting date, all of the Class B2 units were automatically converted into Class B units and unitholders were entitled to purchase from the Company one share of Class B common stock for each Class B unit at its par value. Prior to vesting, holders of Class B2 units did not have the right to receive any distributions from the Partnership, other than tax-related distributions.</w:t>
      </w:r>
    </w:p>
    <w:p>
      <w:pPr>
        <w:spacing w:after="0" w:line="19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 Class B2 Interests are classified as equity-based awards, and the associated equity-based compensation expense is recognized on a straight-line basis over the vesting period, with a corresponding increase to stockholders’ equity in the Company’s consolidated balance sheets.</w:t>
      </w:r>
    </w:p>
    <w:p>
      <w:pPr>
        <w:spacing w:after="0" w:line="168" w:lineRule="exact"/>
        <w:rPr>
          <w:sz w:val="20"/>
          <w:szCs w:val="20"/>
          <w:color w:val="auto"/>
        </w:rPr>
      </w:pPr>
    </w:p>
    <w:p>
      <w:pPr>
        <w:ind w:right="720" w:firstLine="648"/>
        <w:spacing w:after="0" w:line="310" w:lineRule="auto"/>
        <w:rPr>
          <w:sz w:val="20"/>
          <w:szCs w:val="20"/>
          <w:color w:val="auto"/>
        </w:rPr>
      </w:pPr>
      <w:r>
        <w:rPr>
          <w:rFonts w:ascii="Times New Roman" w:cs="Times New Roman" w:eastAsia="Times New Roman" w:hAnsi="Times New Roman"/>
          <w:sz w:val="19"/>
          <w:szCs w:val="19"/>
          <w:color w:val="auto"/>
        </w:rPr>
        <w:t>In June 2024, 2,566,566 outstanding Class B2 units fully vested and were automatically converted into Class B units and all unitholders were entitled to purchase from the Company one share of Class B common stock for each Class B unit at its par value.</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Liability Classified Awards</w:t>
      </w:r>
    </w:p>
    <w:p>
      <w:pPr>
        <w:spacing w:after="0" w:line="220"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In November 2022, the Company issued a profits interest in SPW to certain employees of the SPW team and concurrently entered into an option agreement which provides that (i) StepStone has the right to acquire the profits interest at the end of any fiscal quarter after June 30, 2027, in exchange for payment of a call price and (ii) the SPW management team, through an entity named CH Equity Partners, LLC, has the right to put the profits interest to StepStone on June 30, 2026 or at the end of any fiscal quarter thereafter,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Company accounted for the profits interest and option agreement as a single unit of account as a liability classified equity-based award. There are no vesting provisions or service requirements related to the award. In determining the fair value of the liability classified awards, the Company considers an income approach using a discounted cash flow analysis, a market approach using observable inputs from similar or comparable transactions in the market and the contractual redemption price. The assumptions used in the analysis are inherently subjective; therefore, the ultimate settlement amount for the liability classified awards may differ materially from the current estimate. The significant unobservable inputs required to value the liability classified awards primarily relate to future projected earnings of SPW and the contractual transaction price, which include a discount rate applied of 34% as of March 31,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For the years ended March 31, 2025, 2024 and 2023, the Company recognized $651.8 million, $22.9 million and $8.6 million, respectively, of expense related to liability classified awards within equity-based compensation expense in the consolidated statements of income (loss). For the years ended March 31, 2025 and 2024, the Company paid $16.2 million and $3.1 million, respectively, related to the settlement of liability classified awards. For the year ended March 31, 2023, no amounts were paid related to the settlement of liability classified awards. As of March 31, 2025 and 2024, the Company had recognized $663.9 million and $28.3 million, respectively, for liability classified awards within accrued compensation and benefits in the consolidated balance sheets.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2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Company has an ESPP under which eligible employees may purchase shares of Class A common stock of the Company at six-month period intervals for 85% of the lower of the fair market value on either the first or last trading day of the offering period. Each eligible employee may purchase up to five thousand dollars worth of shares each six-month offering period, limited to a maximum of 1,000 shares. For the year ended March 31, 2025, 69,807 shares were purchased under the ESPP. There were no shares purchased under the ESPP during the years ended March 31, 2024 and 2023 as the ESPP had not yet commenced. As of March 31, 2025, the Company has 2,130,193 shares of Class A common stock reserved for future issuances under the ESPP.</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Grants of Limited Partnership Interests</w:t>
      </w:r>
    </w:p>
    <w:p>
      <w:pPr>
        <w:spacing w:after="0" w:line="220"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0"/>
          <w:szCs w:val="20"/>
          <w:color w:val="auto"/>
        </w:rPr>
        <w:t>In November 2022, one of the Company’s non-wholly owned subsidiaries issued new partnership interests to certain employees with a grant date fair value of $6.1 million, vesting over six years. The issuance did not impact the Company’s fully diluted interest in the subsidiary.</w:t>
      </w:r>
    </w:p>
    <w:p>
      <w:pPr>
        <w:spacing w:after="0" w:line="161"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As of March 31, 2025, $52.1 million of unrecognized non-cash compensation expense in respect of equity-based awards remained to be recognized over a weighted-average period of approximately 3.6 years.</w:t>
      </w:r>
    </w:p>
    <w:p>
      <w:pPr>
        <w:spacing w:after="0" w:line="146" w:lineRule="exact"/>
        <w:rPr>
          <w:sz w:val="20"/>
          <w:szCs w:val="20"/>
          <w:color w:val="auto"/>
        </w:rPr>
      </w:pPr>
    </w:p>
    <w:p>
      <w:pPr>
        <w:ind w:right="320" w:firstLine="648"/>
        <w:spacing w:after="0" w:line="283" w:lineRule="auto"/>
        <w:rPr>
          <w:sz w:val="20"/>
          <w:szCs w:val="20"/>
          <w:color w:val="auto"/>
        </w:rPr>
      </w:pPr>
      <w:r>
        <w:rPr>
          <w:rFonts w:ascii="Times New Roman" w:cs="Times New Roman" w:eastAsia="Times New Roman" w:hAnsi="Times New Roman"/>
          <w:sz w:val="20"/>
          <w:szCs w:val="20"/>
          <w:color w:val="auto"/>
        </w:rPr>
        <w:t>The Company recognized tax benefits related to equity-based awards of $18.4 million, $4.5 million and $1.8 million for the years ended March 31, 2025, 2024 and 2023, respectively.</w:t>
      </w:r>
    </w:p>
    <w:p>
      <w:pPr>
        <w:spacing w:after="0" w:line="14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income (loss) before income tax consisted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income (loss) before income tax</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(102,560)</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income before income tax</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(loss) before 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components of the Company’s provision for income taxes: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tax rate is as follows:</w:t>
      </w:r>
    </w:p>
    <w:p>
      <w:pPr>
        <w:spacing w:after="0" w:line="27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Year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allocated to non-controlling interests</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 adjustment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The Company’s effective tax rate is dependent on many factors, including the estimated amount of income subject to tax. Consequently, the effective tax rate can vary from period to period. The Company’s overall effective tax rate in fiscal 2025 differs from the statutory rate primarily because of the impact of nondeductible items. The Company’s overall effective tax rates in fiscal 2024 and 2023 are less than the statutory rate primarily because a portion of income is allocated to non-controlling interests, as the tax liability on such income is borne by the holders of such non-controlling interests.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components of the Company’s deferred income tax assets and liabilities: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23"/>
        </w:trPr>
        <w:tc>
          <w:tcPr>
            <w:tcW w:w="8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the Partnership</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403,166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195,426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198,108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w:t>
            </w:r>
          </w:p>
        </w:tc>
      </w:tr>
      <w:tr>
        <w:trPr>
          <w:trHeight w:val="22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deferred tax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184,512</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In accordance with the Transaction Agreements outlined in note 14, the Company remeasured the non-controlling interests in its subsidiaries to the redemption value. This adjustment had a significant impact on the Company’s share of the Partnership’s book equity, resulting in an increase in deferred tax assets recorded through equity for the year ended March 31, 2025. Each contemplated exchange is expected to lead to a corresponding decrease in deferred tax assets, also recorded through equity. In connection with the Transaction Agreements, the Company recorded an $11.3 million decrease in deferred tax assets during fiscal 2025 as a result of the 2024 Exchange (as defined below).</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Under the profits interest and option agreement related to SPW, the Company recognized an expense for liability classified awards within equity-based compensation expense in the consolidated statements of income (loss) for the year ended March 31, 2025. This expense is not currently deductible for tax purposes, resulting in a temporary difference that increased the Company’s deferred tax asset by $90.4 million as of March 31, 2025. See note 10 for more information.</w:t>
      </w:r>
    </w:p>
    <w:p>
      <w:pPr>
        <w:spacing w:after="0" w:line="17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connection with the exchanges of Class B, Class C and Class D units of the Partnership for Class A common stock by certain limited partners of the Partnership during fiscal 2025, the Company recorded an overall increase to deferred tax assets for the fiscal year ended March 31, 2025 of $136.3 million, and an increase in the valuation allowance of $3.3 million. Additionally, the Company recorded a corresponding Tax Receivable Agreements liability of $116.7 million, representing 85% of the incremental net cash tax savings for the Company as a result of these exchanges. The Company made payments of $9.8 million, $10.3 million and $6.0 million during the years ended March 31, 2025, 2024 and 2023, respectively, under the Tax Receivable Agreements. As of March 31, 2025, the Company’s total Tax Receivable Agreements liability was $313.7 million. See note 13 for more information.</w:t>
      </w:r>
    </w:p>
    <w:p>
      <w:pPr>
        <w:spacing w:after="0" w:line="17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assets on a quarterly basis and adjusts the valuation allowance when it is more-likely-than-not that all or a portion of the deferred tax assets may not be realized. The total ending valuation allowance for the year ended March 31, 2025 was $23.9 million. Apart from the valuation allowance, the Company believes that the remaining deferred tax assets will be realized in full.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20"/>
          <w:szCs w:val="20"/>
          <w:color w:val="auto"/>
        </w:rPr>
        <w:t>A summary of the change in valuation allowance by year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2023</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Equity increase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 increase</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Equity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40"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12,352</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(1,210)</w:t>
      </w:r>
    </w:p>
    <w:p>
      <w:pPr>
        <w:spacing w:after="0" w:line="2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2,454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4230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13,596</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3,900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6,439</w:t>
      </w:r>
    </w:p>
    <w:p>
      <w:pPr>
        <w:spacing w:after="0" w:line="3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43180</wp:posOffset>
            </wp:positionV>
            <wp:extent cx="14230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300" w:space="720"/>
            <w:col w:w="2220"/>
          </w:cols>
          <w:pgMar w:left="320" w:top="114" w:right="339" w:bottom="1440" w:gutter="0" w:footer="0" w:header="0"/>
          <w:type w:val="continuous"/>
        </w:sectPr>
      </w:pPr>
    </w:p>
    <w:p>
      <w:pPr>
        <w:spacing w:after="0" w:line="129"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auto"/>
        </w:rPr>
        <w:t>As of March 31, 2025, the Company has not recorded any unrecognized tax benefits and does not expect there to be any material changes to uncertain tax positions within the next 12 months.</w:t>
      </w:r>
    </w:p>
    <w:p>
      <w:pPr>
        <w:spacing w:after="0" w:line="14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The Company files income tax returns as required by the tax laws of the jurisdictions in which it operates. In the normal course of business, the Company may be subject to examination by U.S. federal and certain state and local tax authorities. Management has analyzed the Company’s tax positions taken with respect to all applicable income tax issues, for all open tax years, and for all jurisdictions in which the Company is required to file tax returns and has concluded that no provision for income taxes related to uncertain tax positions is required in the Company’s consolidated financial statements for the years ended March 31, 2025, 2024 and 2023.</w:t>
      </w:r>
    </w:p>
    <w:p>
      <w:pPr>
        <w:spacing w:after="0" w:line="173" w:lineRule="exact"/>
        <w:rPr>
          <w:sz w:val="20"/>
          <w:szCs w:val="20"/>
          <w:color w:val="auto"/>
        </w:rPr>
      </w:pPr>
    </w:p>
    <w:p>
      <w:pPr>
        <w:jc w:val="both"/>
        <w:ind w:right="280" w:firstLine="648"/>
        <w:spacing w:after="0" w:line="268" w:lineRule="auto"/>
        <w:rPr>
          <w:sz w:val="20"/>
          <w:szCs w:val="20"/>
          <w:color w:val="auto"/>
        </w:rPr>
      </w:pPr>
      <w:r>
        <w:rPr>
          <w:rFonts w:ascii="Times New Roman" w:cs="Times New Roman" w:eastAsia="Times New Roman" w:hAnsi="Times New Roman"/>
          <w:sz w:val="20"/>
          <w:szCs w:val="20"/>
          <w:color w:val="auto"/>
        </w:rPr>
        <w:t>The Company files U.S. federal, state, local and foreign tax returns on a calendar-year basis. With limited exception, returns filed prior to 2020 are no longer subject to examination by the applicable taxing authorities. There are currently no material examinations being conducted of the Company by tax authorities.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33"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20"/>
          <w:szCs w:val="20"/>
          <w:color w:val="auto"/>
        </w:rPr>
        <w:t>Basic and diluted earnings per share of Class A common stock are presented for the years ended March 31, 2025, 2024 and 2023. The following table sets forth reconciliations of the numerators and denominators used to compute basic and diluted earnings per share of Class A common stock: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StepStone Group Inc. –</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(179,563)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58,091</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0" w:type="dxa"/>
            <w:vAlign w:val="bottom"/>
          </w:tcPr>
          <w:p>
            <w:pPr>
              <w:spacing w:after="0"/>
              <w:rPr>
                <w:sz w:val="1"/>
                <w:szCs w:val="1"/>
                <w:color w:val="auto"/>
              </w:rPr>
            </w:pPr>
          </w:p>
        </w:tc>
      </w:tr>
      <w:tr>
        <w:trPr>
          <w:trHeight w:val="229"/>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Incremental income from assumed vesting of RSUs</w:t>
            </w:r>
          </w:p>
        </w:tc>
        <w:tc>
          <w:tcPr>
            <w:tcW w:w="5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48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Incremental income from assumed vesting and</w:t>
            </w: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exchange of Class B2 units</w:t>
            </w:r>
          </w:p>
        </w:tc>
        <w:tc>
          <w:tcPr>
            <w:tcW w:w="5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StepStone Group Inc. –</w:t>
            </w:r>
          </w:p>
        </w:tc>
        <w:tc>
          <w:tcPr>
            <w:tcW w:w="52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(179,563)</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60,744</w:t>
            </w:r>
          </w:p>
        </w:tc>
        <w:tc>
          <w:tcPr>
            <w:tcW w:w="120" w:type="dxa"/>
            <w:vAlign w:val="bottom"/>
          </w:tcPr>
          <w:p>
            <w:pPr>
              <w:spacing w:after="0"/>
              <w:rPr>
                <w:sz w:val="17"/>
                <w:szCs w:val="17"/>
                <w:color w:val="auto"/>
              </w:rPr>
            </w:pPr>
          </w:p>
        </w:tc>
        <w:tc>
          <w:tcPr>
            <w:tcW w:w="5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0" w:type="dxa"/>
            <w:vAlign w:val="bottom"/>
          </w:tcPr>
          <w:p>
            <w:pPr>
              <w:spacing w:after="0"/>
              <w:rPr>
                <w:sz w:val="1"/>
                <w:szCs w:val="1"/>
                <w:color w:val="auto"/>
              </w:rPr>
            </w:pPr>
          </w:p>
        </w:tc>
      </w:tr>
      <w:tr>
        <w:trPr>
          <w:trHeight w:val="226"/>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outstanding – Basic</w:t>
            </w:r>
          </w:p>
        </w:tc>
        <w:tc>
          <w:tcPr>
            <w:tcW w:w="5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71,142,916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63,489,135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61,884,671</w:t>
            </w:r>
          </w:p>
        </w:tc>
        <w:tc>
          <w:tcPr>
            <w:tcW w:w="0" w:type="dxa"/>
            <w:vAlign w:val="bottom"/>
          </w:tcPr>
          <w:p>
            <w:pPr>
              <w:spacing w:after="0"/>
              <w:rPr>
                <w:sz w:val="1"/>
                <w:szCs w:val="1"/>
                <w:color w:val="auto"/>
              </w:rPr>
            </w:pPr>
          </w:p>
        </w:tc>
      </w:tr>
      <w:tr>
        <w:trPr>
          <w:trHeight w:val="230"/>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5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512,152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and exchange of Class B2 units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2,542,751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5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71,142,916</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66,544,038</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61,884,671</w:t>
            </w:r>
          </w:p>
        </w:tc>
        <w:tc>
          <w:tcPr>
            <w:tcW w:w="0" w:type="dxa"/>
            <w:vAlign w:val="bottom"/>
          </w:tcPr>
          <w:p>
            <w:pPr>
              <w:spacing w:after="0"/>
              <w:rPr>
                <w:sz w:val="1"/>
                <w:szCs w:val="1"/>
                <w:color w:val="auto"/>
              </w:rPr>
            </w:pPr>
          </w:p>
        </w:tc>
      </w:tr>
      <w:tr>
        <w:trPr>
          <w:trHeight w:val="221"/>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outstanding – Diluted</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4"/>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9"/>
          <w:szCs w:val="19"/>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6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calculation of diluted earnings per share excludes 39,656,954 Class B units, 965,761 Class C units and 1,365,065 Class D units of the Partnership outstanding as of March 31, 2025, 45,030,959 Class B units and 1,852,212 Class C units of the Partnership outstanding as of March 31, 2024, and 46,420,141 Class B units and 2,514,085 Class C units of the Partnership outstanding as of March 31, 2023, which are exchangeable into Class A common stock under the if-converted method, as the inclusion of such shares would be anti-dilutive. The calculation of diluted earnings per share excludes 69,870 PRSUs outstanding as of March 31, 2025 as the related performance target has not been met as of March 31, 2025.</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120" w:firstLine="648"/>
        <w:spacing w:after="0" w:line="310" w:lineRule="auto"/>
        <w:rPr>
          <w:sz w:val="20"/>
          <w:szCs w:val="20"/>
          <w:color w:val="auto"/>
        </w:rPr>
      </w:pPr>
      <w:r>
        <w:rPr>
          <w:rFonts w:ascii="Times New Roman" w:cs="Times New Roman" w:eastAsia="Times New Roman" w:hAnsi="Times New Roman"/>
          <w:sz w:val="19"/>
          <w:szCs w:val="19"/>
          <w:color w:val="auto"/>
        </w:rPr>
        <w:t>As the Company was in a net loss position for the year ended March 31, 2025, the calculation of diluted earnings per share excludes potential shares of Class A common stock for 1,024,007 outstanding RSUs, as the inclusion of such shares would be anti-dilutive.</w:t>
      </w:r>
    </w:p>
    <w:p>
      <w:pPr>
        <w:spacing w:after="0" w:line="12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As the Company was in a net loss position for the year ended March 31, 2023, the calculation of diluted earnings per share excludes potential shares of Class A common stock for 1,775,732 outstanding RSUs, 2,566,566 Class B2 units and 23,417 Class B units issuable pursuant to anti-dilution rights in connection with the vesting of Class B2 units that are convertible into Class A common stock under the if-converted method, as the inclusion of such shares would be anti-dilutive.</w:t>
      </w:r>
    </w:p>
    <w:p>
      <w:pPr>
        <w:spacing w:after="0" w:line="18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Related Party Transactions</w:t>
      </w:r>
    </w:p>
    <w:p>
      <w:pPr>
        <w:spacing w:after="0" w:line="22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The Company considers its directors, greater than 5% beneficial owner of any class of the Company’s stock, senior executives, employees and equity method investments to be related parties. A substantial portion of the Company’s management and advisory fees and carried interest allocations is earned from various StepStone Funds. The Company earned net management and advisory fees from the StepStone Funds of $570.9 million, $390.5 million and $335.6 million for the years ended March 31, 2025, 2024 and 2023, respectively. The Company earned incentive fees from the StepStone Funds of $22.6 million, $9.1 million and $3.0 million for the years ended March 31, 2025, 2024 and 2023, respectively. Carried interest allocation revenues earned from the StepStone Funds totaled $301.2 million, $176.3 million and $(122.3) million for the years ended March 31, 2025, 2024 and 2023, respectively. Legacy Greenspring carried interest allocation revenues earned from certain legacy Greenspring funds for which the Company has no direct economic interests totaled $74.3 million, $(75.2) million, and $(452.2) million for the years ended March 31, 2025, 2024 and 2023, respectively.</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Due from affiliates in the consolidated balance sheets consists primarily of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as set forth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96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StepStone Funds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65,765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receivable from employees</w:t>
            </w:r>
          </w:p>
        </w:tc>
        <w:tc>
          <w:tcPr>
            <w:tcW w:w="96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12,919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loans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14,039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w:t>
            </w:r>
          </w:p>
        </w:tc>
      </w:tr>
      <w:tr>
        <w:trPr>
          <w:trHeight w:val="223"/>
        </w:trPr>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from affiliates</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92,723</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67,531</w:t>
            </w:r>
          </w:p>
        </w:tc>
      </w:tr>
      <w:tr>
        <w:trPr>
          <w:trHeight w:val="20"/>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20"/>
          <w:szCs w:val="20"/>
          <w:color w:val="auto"/>
        </w:rPr>
        <w:t>Due to affiliates in the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96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non-controlling interest holders in connection with Tax Receivable Agreements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313,749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payable to StepStone Funds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payable to certain employee equity holders of consolidated subsidiaries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to affiliates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331,821</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212,918</w:t>
            </w:r>
          </w:p>
        </w:tc>
      </w:tr>
      <w:tr>
        <w:trPr>
          <w:trHeight w:val="21"/>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400" w:firstLine="648"/>
        <w:spacing w:after="0" w:line="283" w:lineRule="auto"/>
        <w:rPr>
          <w:sz w:val="20"/>
          <w:szCs w:val="20"/>
          <w:color w:val="auto"/>
        </w:rPr>
      </w:pPr>
      <w:r>
        <w:rPr>
          <w:rFonts w:ascii="Times New Roman" w:cs="Times New Roman" w:eastAsia="Times New Roman" w:hAnsi="Times New Roman"/>
          <w:sz w:val="20"/>
          <w:szCs w:val="20"/>
          <w:color w:val="auto"/>
        </w:rPr>
        <w:t>The Company made payments of $9.8 million, $10.3 million, and $6.0 million during the years ended March 31, 2025, 2024 and 2023, respectively, under the Tax Receivable Agreements.</w:t>
      </w:r>
    </w:p>
    <w:p>
      <w:pPr>
        <w:spacing w:after="0" w:line="1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Stockholders’ Equity and Redeemable Interests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Stockholders’ Equity</w:t>
      </w:r>
    </w:p>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86"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The Class C and Class D (further described below) limited partnership interests of the Partnership have substantially the same rights and obligations as are applicable to the existing holders of Class B units of the Partnership. The Company has no ownership interest in the Class C and Class D units, which are held by certain employees of the Company. The Company has entered into agreements with the Class C limited partners of the Partnership (the “Class C Exchange Agreement”) and Class D limited partners of the Partnership (the “Class D Exchange Agreement”) to allow for the exchange of Class C units and Class D units, respectively, to shares of Class A common stock of the Company on a one-for-one basis, subject to certain restrictions, as further described below in respect of the Class D Exchange Agreement.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rollforward of the Company’s shares of common stock outstanding since March 31, 2024: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65,614,902</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45,030,959</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B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7,963,988</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(7,963,988)</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C Partnership units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886,451</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D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901,354</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2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issued for vesting of RSUs, net of shares withheld for</w:t>
            </w:r>
          </w:p>
        </w:tc>
        <w:tc>
          <w:tcPr>
            <w:tcW w:w="2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243"/>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employee taxes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811,503</w:t>
            </w:r>
          </w:p>
        </w:tc>
        <w:tc>
          <w:tcPr>
            <w:tcW w:w="140" w:type="dxa"/>
            <w:vAlign w:val="bottom"/>
            <w:shd w:val="clear" w:color="auto" w:fill="CCEEFF"/>
          </w:tcPr>
          <w:p>
            <w:pPr>
              <w:spacing w:after="0"/>
              <w:rPr>
                <w:sz w:val="21"/>
                <w:szCs w:val="21"/>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for purchase of asset class non-controlling interests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513,394</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under ESPP</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69,807</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2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purchased at par value in connection with vesting of Class</w:t>
            </w: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43"/>
        </w:trPr>
        <w:tc>
          <w:tcPr>
            <w:tcW w:w="6280" w:type="dxa"/>
            <w:vAlign w:val="bottom"/>
          </w:tcPr>
          <w:p>
            <w:pPr>
              <w:ind w:left="460"/>
              <w:spacing w:after="0" w:line="243" w:lineRule="exact"/>
              <w:rPr>
                <w:sz w:val="20"/>
                <w:szCs w:val="20"/>
                <w:color w:val="auto"/>
              </w:rPr>
            </w:pPr>
            <w:r>
              <w:rPr>
                <w:rFonts w:ascii="Times New Roman" w:cs="Times New Roman" w:eastAsia="Times New Roman" w:hAnsi="Times New Roman"/>
                <w:sz w:val="18"/>
                <w:szCs w:val="18"/>
                <w:color w:val="auto"/>
              </w:rPr>
              <w:t>B2 units</w:t>
            </w:r>
            <w:r>
              <w:rPr>
                <w:rFonts w:ascii="Times New Roman" w:cs="Times New Roman" w:eastAsia="Times New Roman" w:hAnsi="Times New Roman"/>
                <w:sz w:val="23"/>
                <w:szCs w:val="23"/>
                <w:color w:val="auto"/>
                <w:vertAlign w:val="superscript"/>
              </w:rPr>
              <w:t>(1)</w:t>
            </w:r>
          </w:p>
        </w:tc>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2,589,983</w:t>
            </w: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76,761,399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39,656,954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23,417 Class B units issued pursuant to anti-dilution rights in connection with the vesting of Class B2 units.</w:t>
      </w:r>
    </w:p>
    <w:p>
      <w:pPr>
        <w:spacing w:after="0" w:line="202" w:lineRule="exact"/>
        <w:rPr>
          <w:sz w:val="20"/>
          <w:szCs w:val="20"/>
          <w:color w:val="auto"/>
        </w:rPr>
      </w:pPr>
    </w:p>
    <w:p>
      <w:pPr>
        <w:ind w:right="500" w:firstLine="648"/>
        <w:spacing w:after="0" w:line="269" w:lineRule="auto"/>
        <w:rPr>
          <w:sz w:val="20"/>
          <w:szCs w:val="20"/>
          <w:color w:val="auto"/>
        </w:rPr>
      </w:pPr>
      <w:r>
        <w:rPr>
          <w:rFonts w:ascii="Times New Roman" w:cs="Times New Roman" w:eastAsia="Times New Roman" w:hAnsi="Times New Roman"/>
          <w:sz w:val="20"/>
          <w:szCs w:val="20"/>
          <w:color w:val="auto"/>
        </w:rPr>
        <w:t>The Company has 25,000,000 authorized shares of preferred stock, par value of $0.001 per share, and as of March 31, 2025, no shares of preferred stock were issued or outstanding.</w:t>
      </w:r>
    </w:p>
    <w:p>
      <w:pPr>
        <w:spacing w:after="0" w:line="17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The Company records a reallocation adjustment between SSG stockholders’ equity, non-controlling interests in the Partnership and non-controlling interests in subsidiaries to reflect the impact of changes in economic ownership percentages during the period and adjust previously recorded equity transactions to the economic ownership percentage as of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In March 2025, the Company issued 470,300 shares of Class A common stock to certain limited partners of the Partnership in exchange for 470,300 Class B units of the Partnership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The Company also issued 171,905 shares of Class A common stock to certain limited partners of the Partnership in exchange for 171,905 Class D units of the Partnership in accordance with the elective exchange notices submitted pursuant to the Class D Exchange Agreement, and a corresponding number of Class A units of the Partnership were issued to the Company.</w:t>
      </w:r>
    </w:p>
    <w:p>
      <w:pPr>
        <w:spacing w:after="0" w:line="176"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0"/>
          <w:szCs w:val="20"/>
          <w:color w:val="auto"/>
        </w:rPr>
        <w:t>In December 2024, the Company issued 2,354,788 shares of Class A common stock to certain limited partners of the Partnership in exchange for 2,354,788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75,642 shares of Class A common stock to certain limited partners of the Partnership in exchange for 75,642 Class C units of the Partnership in accordance with the elective exchange notices submitted pursuant to the Class C Exchange Agreement, and a corresponding number of Class A units of the Partnership were issued to the Company. The Company also issued 729,449 shares of Class A common stock to certain limited partners of the Partnership in exchange for 729,449 Class D units of the Partnership in accordance with the elective exchange notices submitted pursuant to the Class D Exchange Agreement, and a corresponding number of Class A units of the Partnership were issued to the Company.</w:t>
      </w:r>
    </w:p>
    <w:p>
      <w:pPr>
        <w:spacing w:after="0" w:line="177"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In September 2024, the Company issued 312,112 shares of Class A common stock to certain limited partners of the Partnership in exchange for 312,112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34,027 shares of Class A common stock to certain limited partners of the Partnership in exchange for 34,027 Class C units of the Partnership in accordance with the elective exchange notices submitted pursuant to the Class C Exchange Agreement, and a corresponding number of Class A units of the Partnership were issued to the Company.</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Also in September 2024, the Company conducted an underwritten public offering of 4,099,997 shares of Class A common stock at a public offering price of $50.00 per share. The Company used all of the net proceeds from the offering, after underwriting discounts and commissions and expenses, to purchase (i) 300,000 shares of Class A common stock of the Company from certain selling stockholders, (ii) 3,094,981 Class B units of the Partnership from certain holders thereof, including certain directors and executive officers of the Company, and (iii) 705,016 Class C units of the Partnership from certain holders thereof. 3,094,981 shares of Class B common stock were automatically redeemed at par value and canceled in connection with such exchange and 3,799,997 Class A units of the Partnership were issued to the Company.</w:t>
      </w:r>
    </w:p>
    <w:p>
      <w:pPr>
        <w:spacing w:after="0" w:line="193"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In June 2024, the Company issued 1,731,807 shares of Class A common stock to certain limited partners of the Partnership in exchange for 1,731,807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71,766 shares of Class A common stock to certain limited partners of the Partnership in exchange for 71,766 Class C units of the Partnership in accordance with the elective exchange notices submitted pursuant to the Class C Exchange Agreement, and a corresponding number of Class A units of the Partnership were issued to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3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On February 7, 2024, SSG and the Partnership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87"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9"/>
          <w:szCs w:val="19"/>
          <w:color w:val="auto"/>
        </w:rPr>
        <w:t>The Transaction Agreements provide for, among other things and subject to the terms and conditions therein, the exchange of the sellers’ equity interests in the Asset Class Entities, as applicable, for a combination of (i) newly-created Class D equity interests (“Class D units”) in the Partnership with terms substantially similar to the Partnership’s existing Class C units, in the case of SRA and SRE, or shares of the Company’s Class A common stock, in the case of SPD and (ii) cash (at the discretion of the Company for all exchanges except the initial exchange), in up to ten annual exchanges (increased to up to fifteen annual exchanges in certain circumstances in case of the sellers of SRA equity interests). The Transaction Agreements allow for issuance of up to 75 million shares as consideration for settlement of the transaction.</w:t>
      </w:r>
    </w:p>
    <w:p>
      <w:pPr>
        <w:spacing w:after="0" w:line="178"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The portion of the equity interests to be acquired in each annual exchange is set forth in an exchange schedule attached to each Transaction Agreement and is approximately 5% of each Asset Class Entity on each contemplated annual exchange date. The amount of consideration to be delivered will be calculated using exchange ratios determined each year based on a formula establishing an assumed value of each Asset Class Entity based on its estimated adjusted net income, relative to an adjusted trading multiple for the Company’s Class A common stock relative to the Company’s estimated adjusted net income. The Transaction Agreement specifies a minimum adjusted trading multiple for the exchange to take place, in which case if not met the exchange would be skipped and combined in a subsequent year if and when the minimum adjusted trading multiple was met. Therefore, the non-controlling interests subject to the Transaction Agreements are not mandatorily redeemable as of March 31, 2025.</w:t>
      </w:r>
    </w:p>
    <w:p>
      <w:pPr>
        <w:spacing w:after="0" w:line="182"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On the effective date of the Transaction Agreements, the Company reclassified the carrying value of the non-controlling interests in the Asset Class Entities from permanent equity to redeemable equity and remeasured the non-controlling interests at their redemption value as potential cash settlement could not be attributable to any individual non-controlling interest unit and the Company determined that redemption of the equity instruments was probable. After the notification period 10-days prior to the Initial Reference Date, the individual units subject to the first exchange became irrevocable and the Company separated the carrying value for all of the equity instruments related to the subsequent exchanges to occur after the initial exchange and reclassified these interests into permanent equity at their then carrying value given that settlement of subsequent exchanges is within the Company’s control.</w:t>
      </w:r>
    </w:p>
    <w:p>
      <w:pPr>
        <w:spacing w:after="0" w:line="17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 xml:space="preserve">On April 1, 2024, certain of the Company’s subsidiaries underwent transactions to effect unitization of the outstanding classes of limited partnership interests. The economic rights and obligations of limited partnership interest holders were the same immediately prior to the unitization as immediately after the unitization. The outstanding classes of limited partnership interests, including the class of interests relating to awards of carried interest allocations granted to employees, were essentially combined into a single class of limited partnership interest and redesignated into units. The class of interests relating to awards of carried interest allocations granted to employees were previously accounted for as compensation arrangements under ASC 710,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and presented as carried interest-related compensation expense. The transaction was considered to be a transaction amongst equity holders, and the Company did not recognize any incremental compensation cost related to settlement of the accrued carried interest-related compensation.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Also on April 1, 2024, the Company exchanged certain ordinary shares in the SPD subsidiary and paid $5.4 million to purchase certain preferred shares in SPD with liquidation preference rights in connection with the Transaction Agreements. There was no change in the Company’s economic interest in SPD as a result of the transaction.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300" w:firstLine="648"/>
        <w:spacing w:after="0" w:line="270" w:lineRule="auto"/>
        <w:rPr>
          <w:sz w:val="20"/>
          <w:szCs w:val="20"/>
          <w:color w:val="auto"/>
        </w:rPr>
      </w:pPr>
      <w:r>
        <w:rPr>
          <w:rFonts w:ascii="Times New Roman" w:cs="Times New Roman" w:eastAsia="Times New Roman" w:hAnsi="Times New Roman"/>
          <w:sz w:val="19"/>
          <w:szCs w:val="19"/>
          <w:color w:val="auto"/>
        </w:rPr>
        <w:t>On May 31, 2024, the Company completed the first annual exchange (the “2024 Exchange”) to acquire approximately 5% of the equity interests of each of SRA, SRE and SPD pursuant to the Transaction Agreements. As a result of the 2024 Exchange, the Partnership now owns approximately 54% of the outstanding equity interests of SRA, 56% of the outstanding equity interests of SRE and 54% of the outstanding equity interests of SPD. The aggregate consideration paid by the Company in the 2024 Exchange was approximately (i) $13 million in cash, (ii) 513,394 shares of the Company’s Class A common stock and (iii) 2,239,185 Class D units of the Partnership.</w:t>
      </w:r>
    </w:p>
    <w:p>
      <w:pPr>
        <w:spacing w:after="0" w:line="17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transactions contemplated by the SRA Transaction Agreement and SRE Transaction Agreement, SSG and the Partnership entered into a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on a one-for-one basis with shares of the Company’s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195"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accounts for adjustments to the redemption value of a redeemable equity instrument that is currently redeemable by adjusting the carrying value of the equity instrument to the maximum redemption value at each reporting period based on conditions that exist as of the reporting date. If the redeemable equity instrument is probable of becoming redeemable in the near future, the carrying value of a redeemable equity instrument is adjusted to the redemption value immediately as changes occur based on conditions that exist at that date or at each reporting date. For redeemable equity instruments either not redeemable or probable of becoming redeemable in the near future, no adjustment to the carrying value is made until it is probable that the equity instrument will become redeemable. The Company recognizes adjustments to the carrying value of redeemable equity instruments with charges against retained earnings, or to additional paid-in-capital in the absence of retained earnings.</w:t>
      </w:r>
    </w:p>
    <w:p>
      <w:pPr>
        <w:spacing w:after="0" w:line="182"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20"/>
          <w:szCs w:val="20"/>
          <w:color w:val="auto"/>
        </w:rPr>
        <w:t>As of March 31, 2025, the Company determined that redemption of the redeemable non-controlling interests in subsidiaries was probable and presented the carrying value at the redemption amount based on the conditions that existed as of that date of $6.3 million in the consolidated balance sheets within redeemable non-controlling interests in subsidiaries.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Dividends and Distributions</w:t>
      </w:r>
    </w:p>
    <w:p>
      <w:pPr>
        <w:spacing w:after="0" w:line="2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Dividends and distributions are reflected in the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following table presents information regarding quarterly dividends on Class A common shares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2022</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2022</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2023</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FY2023</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13, 2024</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13,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14, 2025</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FY2025</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years 2023 and 2024, respectively.</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Redeemable Non-Controlling Interests</w:t>
      </w:r>
    </w:p>
    <w:p>
      <w:pPr>
        <w:spacing w:after="0" w:line="23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Consolidated Funds: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28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240,256</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redeemable non-controlling interests</w:t>
            </w:r>
          </w:p>
        </w:tc>
        <w:tc>
          <w:tcPr>
            <w:tcW w:w="1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53,731</w:t>
            </w: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15,838</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377,897</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subsidiaries: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28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from permanent equity at redemption value</w:t>
            </w:r>
          </w:p>
        </w:tc>
        <w:tc>
          <w:tcPr>
            <w:tcW w:w="12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1,086,492</w:t>
            </w: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to permanent equity</w:t>
            </w:r>
          </w:p>
        </w:tc>
        <w:tc>
          <w:tcPr>
            <w:tcW w:w="12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(976,354)</w:t>
            </w: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redeemable non-controlling interests</w:t>
            </w:r>
          </w:p>
        </w:tc>
        <w:tc>
          <w:tcPr>
            <w:tcW w:w="1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(110,351)</w:t>
            </w:r>
          </w:p>
        </w:tc>
        <w:tc>
          <w:tcPr>
            <w:tcW w:w="2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115,920</w:t>
            </w:r>
          </w:p>
        </w:tc>
      </w:tr>
      <w:tr>
        <w:trPr>
          <w:trHeight w:val="21"/>
        </w:trPr>
        <w:tc>
          <w:tcPr>
            <w:tcW w:w="6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22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consolidated financial statements as of March 31, 2025.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 Commitments</w:t>
      </w:r>
    </w:p>
    <w:p>
      <w:pPr>
        <w:spacing w:after="0" w:line="233"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20"/>
          <w:szCs w:val="20"/>
          <w:color w:val="auto"/>
        </w:rPr>
        <w:t>The Company leases offices in 28 cities in North America, South America, Europe, Asia and Australia, and certain equipment subject to operating lease agreements expiring through 2039, some of which may include options to extend or terminate the lease. As of March 31, 2025, there were no finance leases outstanding.</w:t>
      </w:r>
    </w:p>
    <w:p>
      <w:pPr>
        <w:spacing w:after="0" w:line="168" w:lineRule="exact"/>
        <w:rPr>
          <w:sz w:val="20"/>
          <w:szCs w:val="20"/>
          <w:color w:val="auto"/>
        </w:rPr>
      </w:pPr>
    </w:p>
    <w:p>
      <w:pPr>
        <w:ind w:right="300" w:firstLine="648"/>
        <w:spacing w:after="0" w:line="283" w:lineRule="auto"/>
        <w:rPr>
          <w:sz w:val="20"/>
          <w:szCs w:val="20"/>
          <w:color w:val="auto"/>
        </w:rPr>
      </w:pPr>
      <w:r>
        <w:rPr>
          <w:rFonts w:ascii="Times New Roman" w:cs="Times New Roman" w:eastAsia="Times New Roman" w:hAnsi="Times New Roman"/>
          <w:sz w:val="20"/>
          <w:szCs w:val="20"/>
          <w:color w:val="auto"/>
        </w:rPr>
        <w:t>The components of lease expense included in general, administrative and other expenses in the consolidated statements of income (loss)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23"/>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15,617</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10,580</w:t>
            </w:r>
          </w:p>
        </w:tc>
      </w:tr>
      <w:tr>
        <w:trPr>
          <w:trHeight w:val="20"/>
        </w:trPr>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an immaterial amount of short-term leases.</w:t>
      </w:r>
    </w:p>
    <w:p>
      <w:pPr>
        <w:spacing w:after="0" w:line="9" w:lineRule="exact"/>
        <w:rPr>
          <w:rFonts w:ascii="Times New Roman" w:cs="Times New Roman" w:eastAsia="Times New Roman" w:hAnsi="Times New Roman"/>
          <w:sz w:val="18"/>
          <w:szCs w:val="18"/>
          <w:color w:val="auto"/>
        </w:rPr>
      </w:pPr>
    </w:p>
    <w:p>
      <w:pPr>
        <w:ind w:left="660" w:right="580" w:hanging="652"/>
        <w:spacing w:after="0" w:line="260" w:lineRule="auto"/>
        <w:tabs>
          <w:tab w:leader="none" w:pos="6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gain of $0.1 million and $2.7 million for the years ended March 31, 2024 and 2023, respectively, related to lease remeasurement adjustments due to a reduction in lease terms.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12,650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10,613</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 (in years)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2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2025, maturities of operating lease liabilities were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FY2026</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17,028</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15,736</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FY2029</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15,603</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FY2030</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72,308</w:t>
            </w:r>
          </w:p>
        </w:tc>
      </w:tr>
      <w:tr>
        <w:trPr>
          <w:trHeight w:val="223"/>
        </w:trPr>
        <w:tc>
          <w:tcPr>
            <w:tcW w:w="9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150,170</w:t>
            </w:r>
          </w:p>
        </w:tc>
      </w:tr>
      <w:tr>
        <w:trPr>
          <w:trHeight w:val="230"/>
        </w:trPr>
        <w:tc>
          <w:tcPr>
            <w:tcW w:w="9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(36,651)</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113,519</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Unfunded Capital Commitments</w:t>
      </w:r>
    </w:p>
    <w:p>
      <w:pPr>
        <w:spacing w:after="0" w:line="220"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As of March 31, 2025 and 2024, the Company, generally in its capacity as general partner or managing member of the StepStone Funds, had unfunded commitments totaling $125.0 million and $115.7 million, respectively. The $125.0 million and $115.7 million of unfunded commitments as of March 31, 2025 and 2024, respectively, exclude $47.8 million and $67.8 million, respectively, related to commitments held by general partner entities for certain funds in which the Company does not hold any direct economic interests, including the legacy Greenspring funds.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Carried Interest Allocations</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2025 and 2024, no material amounts for potential clawback obligations had been accrued. This contingent obligation is normally reduced by income taxes that the Company has paid related to the carried interest allocations. As of March 31, 2025, the maximum amount of carried interest allocations (excluding legacy Greenspring carried interest allocations) attributable to the Company subject to contingent repayment was an estimated $355.0 million, net of tax, assuming the fair value of all investments was zero, a possibility that the Company views as remote.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Indemnification Arrangements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consolidated balance sheets as of March 31, 2025 and 2024. Based on past experience, management believes that the risk of loss related to these indemnities is remote.</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Employee Benefits</w:t>
      </w:r>
    </w:p>
    <w:p>
      <w:pPr>
        <w:spacing w:after="0" w:line="2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The Company provides defined contribution plans covering employees subject to minimum age and service guidelines. Eligible employees may contribute a percentage of their annual compensation subject to statutory guidelines. The Company makes non-discretionary contributions to the plans, which amounted to $6.6 million, $6.0 million and $4.6 million for the years ended March 31, 2025, 2024 and 2023, respectively, and are included in cash-based compensation in the consolidated statements of income (loss).</w:t>
      </w:r>
    </w:p>
    <w:p>
      <w:pPr>
        <w:spacing w:after="0" w:line="172"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20"/>
          <w:szCs w:val="20"/>
          <w:color w:val="auto"/>
        </w:rPr>
        <w:t>One of the Company’s subsidiaries with non-U.S. operations maintains a defined benefit pension plan (the “Plan”). The Plan covers certain non-U.S. employees and provides benefits to such employees upon retirement, disability and/or death. As of March 31, 2025 and 2024, the Plan’s assets totaled $40.1 million and $32.4 million, respectively. As of March 31, 2025 and 2024, the underfunded pension obligation, based on the latest actuarial determination, was $1.0 million and $2.6 million, respectively, and is included in accrued compensation and benefits in the consolidated balance sheets. Net period benefit cost recognized was $1.3 million, $1.0 million and</w:t>
      </w:r>
    </w:p>
    <w:p>
      <w:pPr>
        <w:spacing w:after="0" w:line="4"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20"/>
          <w:szCs w:val="20"/>
          <w:color w:val="auto"/>
        </w:rPr>
        <w:t>$0.5 million for the years ended March 31, 2025, 2024 and 2023, respectively, which is included in cash-based compensation in the consolidated statements of income (loss).</w:t>
      </w:r>
    </w:p>
    <w:p>
      <w:pPr>
        <w:spacing w:after="0" w:line="1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17.</w:t>
      </w:r>
      <w:r>
        <w:rPr>
          <w:sz w:val="20"/>
          <w:szCs w:val="20"/>
          <w:color w:val="auto"/>
        </w:rPr>
        <w:tab/>
      </w:r>
      <w:r>
        <w:rPr>
          <w:rFonts w:ascii="Times New Roman" w:cs="Times New Roman" w:eastAsia="Times New Roman" w:hAnsi="Times New Roman"/>
          <w:sz w:val="19"/>
          <w:szCs w:val="19"/>
          <w:b w:val="1"/>
          <w:bCs w:val="1"/>
          <w:color w:val="auto"/>
        </w:rPr>
        <w:t>Segment Reporting</w:t>
      </w:r>
    </w:p>
    <w:p>
      <w:pPr>
        <w:spacing w:after="0" w:line="2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Company’s single reportable segment earns substantially all its revenue from management, advisory, and performance fees. The CODM manages the Company on a consolidated basis and utilizes GAAP net income (loss) as presented in the consolidated statements of income (loss) as the primary financial measure used to assess the performance of and allocate resources to the business. The CODM regularly reviews the GAAP consolidated statements of income (loss) including the revenue, expense and other captions as presented in the Company’s periodic filings. There are no other significant expenses or specified revenue and expense categories reviewed by the CODM other than as reflected in the consolidated statements of income (loss). The CODM reviews segment assets at the consolidated level within the consolidated balance sheets, as there is no difference between segment assets and total consolidated assets. As the Company operates as a single segment, the accounting policies utilized by the segment are consistent with those included in the consolidated financial statements here within.</w:t>
      </w:r>
    </w:p>
    <w:p>
      <w:pPr>
        <w:spacing w:after="0" w:line="18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18.</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2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On May 22, 2025, the Company announced a quarterly cash dividend of $0.24 per share of Class A common stock and a supplemental cash dividend of $0.40 per share of Class A common stock, both payable on June 30, 2025 to holders of record as of the close of business on June 13, 2025.</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7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3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the financial statements for external purposes in accordance with U.S. GAAP.</w:t>
      </w:r>
    </w:p>
    <w:p>
      <w:pPr>
        <w:spacing w:after="0" w:line="168"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internal control over financial reporting includes policies and procedures that:</w:t>
      </w:r>
    </w:p>
    <w:p>
      <w:pPr>
        <w:spacing w:after="0" w:line="229" w:lineRule="exact"/>
        <w:rPr>
          <w:sz w:val="20"/>
          <w:szCs w:val="20"/>
          <w:color w:val="auto"/>
        </w:rPr>
      </w:pPr>
    </w:p>
    <w:p>
      <w:pPr>
        <w:ind w:left="660" w:right="260" w:hanging="328"/>
        <w:spacing w:after="0" w:line="269" w:lineRule="auto"/>
        <w:tabs>
          <w:tab w:leader="none" w:pos="64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our assets;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right="120" w:hanging="328"/>
        <w:spacing w:after="0" w:line="261" w:lineRule="auto"/>
        <w:tabs>
          <w:tab w:leader="none" w:pos="6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GAAP, and that receipts and expenditures are being made only in accordance with authorizations of management and the directors; and</w:t>
      </w:r>
    </w:p>
    <w:p>
      <w:pPr>
        <w:spacing w:after="0" w:line="181" w:lineRule="exact"/>
        <w:rPr>
          <w:rFonts w:ascii="Times New Roman" w:cs="Times New Roman" w:eastAsia="Times New Roman" w:hAnsi="Times New Roman"/>
          <w:sz w:val="20"/>
          <w:szCs w:val="20"/>
          <w:color w:val="auto"/>
        </w:rPr>
      </w:pPr>
    </w:p>
    <w:p>
      <w:pPr>
        <w:ind w:left="660" w:right="180" w:hanging="328"/>
        <w:spacing w:after="0" w:line="269" w:lineRule="auto"/>
        <w:tabs>
          <w:tab w:leader="none" w:pos="6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the consolidated financial statements.</w:t>
      </w:r>
    </w:p>
    <w:p>
      <w:pPr>
        <w:spacing w:after="0" w:line="17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0"/>
          <w:szCs w:val="20"/>
          <w:color w:val="auto"/>
        </w:rPr>
        <w:t xml:space="preserve">Our management, with the participation of our Chief Executive Officer and Chief Financial Officer, evaluated the effectiveness of our internal control over financial reporting as of March 31, 2025, based on the criteria described in the </w:t>
      </w:r>
      <w:r>
        <w:rPr>
          <w:rFonts w:ascii="Times New Roman" w:cs="Times New Roman" w:eastAsia="Times New Roman" w:hAnsi="Times New Roman"/>
          <w:sz w:val="20"/>
          <w:szCs w:val="20"/>
          <w:i w:val="1"/>
          <w:iCs w:val="1"/>
          <w:color w:val="auto"/>
        </w:rPr>
        <w:t>Internal Control-Integrated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the Committee of Sponsoring Organizations of the Treadway Commission. Based on the results of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evaluation, management concluded that our internal control over financial reporting was effective as of March 31, 2025.</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Exchange Act) during our most recent quarter ended March 31, 2025, that have materially affected, or are reasonably likely to materially affect, our internal control over financial reporting.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Attestation Report of the Independent Registered Public Accounting Firm</w:t>
      </w:r>
    </w:p>
    <w:p>
      <w:pPr>
        <w:spacing w:after="0" w:line="22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0"/>
          <w:szCs w:val="20"/>
          <w:color w:val="auto"/>
        </w:rPr>
        <w:t>Ernst &amp; Young LLP, our independent registered public accounting firm, has audited the Company’s consolidated financial statements included in this annual report and issued its report on the effectiveness of our internal control over financial reporting as of March 31, 2025, which is included in Item 8 of this annual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Change in Control Severance Agreement.</w:t>
      </w:r>
    </w:p>
    <w:p>
      <w:pPr>
        <w:spacing w:after="0" w:line="216"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9"/>
          <w:szCs w:val="19"/>
          <w:color w:val="auto"/>
        </w:rPr>
        <w:t>On May 20, 2025, we entered into a Change in Control Severance Agreement with David Y. Park, our Chief Financial Officer, pursuant to which Mr. Park is eligible to receive the following severance benefits in the event his employment is terminated without “cause” or he resigns for “good reason” after we experience a “change in control” (each as defined in the Change in Control Severance Agreement):</w:t>
      </w:r>
    </w:p>
    <w:p>
      <w:pPr>
        <w:spacing w:after="0" w:line="2" w:lineRule="exact"/>
        <w:rPr>
          <w:sz w:val="20"/>
          <w:szCs w:val="20"/>
          <w:color w:val="auto"/>
        </w:rPr>
      </w:pPr>
    </w:p>
    <w:p>
      <w:pPr>
        <w:ind w:right="20" w:firstLine="8"/>
        <w:spacing w:after="0" w:line="249" w:lineRule="auto"/>
        <w:tabs>
          <w:tab w:leader="none" w:pos="23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 sum cash severance payment equal to two times the sum of (A) Mr. Park’s base salary and (B) his annual bonus earned for the preceding fiscal year (including any portion paid in cash and any portion granted as equity awards), (ii) 24 months of Company-paid group health plan continuation, and (iii) accelerated vesting of all unvested equity or equity-based awards, carried interest awards and awards under any incentive fee plan (with any performance-based vesting conditions determined in accordance with the applicable plan or award agreement). The severance benefits are subject to Mr. Park’s execution and non-revocation of a release of claims in favor of the Company.</w:t>
      </w:r>
    </w:p>
    <w:p>
      <w:pPr>
        <w:spacing w:after="0" w:line="196"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20"/>
          <w:szCs w:val="20"/>
          <w:color w:val="auto"/>
        </w:rPr>
        <w:t>The foregoing summary of the Change in Control Severance Agreement does not purport to be complete and is qualified in its entirety by reference to the complete terms of the Change in Control Severance Agreement filed as Exhibit 10.20 hereto, which is incorporated herein by reference.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 Trading Arrangements.</w:t>
      </w:r>
    </w:p>
    <w:p>
      <w:pPr>
        <w:spacing w:after="0" w:line="216"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20"/>
          <w:szCs w:val="20"/>
          <w:color w:val="auto"/>
        </w:rPr>
        <w:t>During the quarter ended March 31, 2025, none of our directors or officers (as defined in Exchange Act Rule 16a-1(f))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2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We have adopted a Code of Conduct and Ethics that applies to all directors, officers and employees, which is available on our website at www.stepstonegroup.com. If we make any amendments to our Code of Conduct and Ethics that require disclosure under the rules of the Securities and Exchange Commission or the rules of the Nasdaq Global Select Market or grant any waivers to our directors or executive officers, we will disclose any such amendment and/or waiver on our website listed above.</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The remaining information required by this item is incorporated by reference to the sections titled “Board of Directors and Corporate Governance” and “Executive Officers” of the definitive Proxy Statement for our 2025 Annual Meeting of Stockholders, which will be filed with the Securities and Exchange Commission no later than 120 days after 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titled “Compensation Committee Interlocks and Insider Participation,” “Compensation Discussion and Analysis,” “Compensation Committee Report,” and “Executive Compensation Tables” of the definitive Proxy Statement for our 2025 Annual Meeting of Stockholders, which will be filed with the Securities and Exchange Commission no later than 120 days after March 31,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33"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regarding the beneficial ownership of our common stock required by this item is incorporated by reference to the section titled “Beneficial Ownership of Securities” of the definitive Proxy Statement for our 2025 Annual Meeting of Stockholders, which will be filed with the Securities and Exchange Commission no later than 120 days after March 31, 2025.</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set forth below provides information concerning the awards that may be issued under the LTIP and ESPP as of March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 w:hanging="323"/>
        <w:spacing w:after="0" w:line="245"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 w:lineRule="exact"/>
        <w:rPr>
          <w:sz w:val="20"/>
          <w:szCs w:val="20"/>
          <w:color w:val="auto"/>
        </w:rPr>
      </w:pPr>
    </w:p>
    <w:p>
      <w:pPr>
        <w:ind w:left="360" w:right="340" w:hanging="323"/>
        <w:spacing w:after="0" w:line="245"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remaining</w:t>
            </w:r>
          </w:p>
        </w:tc>
        <w:tc>
          <w:tcPr>
            <w:tcW w:w="0" w:type="dxa"/>
            <w:vAlign w:val="bottom"/>
          </w:tcPr>
          <w:p>
            <w:pPr>
              <w:spacing w:after="0"/>
              <w:rPr>
                <w:sz w:val="1"/>
                <w:szCs w:val="1"/>
                <w:color w:val="auto"/>
              </w:rPr>
            </w:pPr>
          </w:p>
        </w:tc>
      </w:tr>
      <w:tr>
        <w:trPr>
          <w:trHeight w:val="184"/>
        </w:trPr>
        <w:tc>
          <w:tcPr>
            <w:tcW w:w="250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6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w:t>
            </w:r>
          </w:p>
        </w:tc>
        <w:tc>
          <w:tcPr>
            <w:tcW w:w="0" w:type="dxa"/>
            <w:vAlign w:val="bottom"/>
          </w:tcPr>
          <w:p>
            <w:pPr>
              <w:spacing w:after="0"/>
              <w:rPr>
                <w:sz w:val="1"/>
                <w:szCs w:val="1"/>
                <w:color w:val="auto"/>
              </w:rPr>
            </w:pPr>
          </w:p>
        </w:tc>
      </w:tr>
      <w:tr>
        <w:trPr>
          <w:trHeight w:val="189"/>
        </w:trPr>
        <w:tc>
          <w:tcPr>
            <w:tcW w:w="250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22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equity compensation plans</w:t>
            </w:r>
          </w:p>
        </w:tc>
        <w:tc>
          <w:tcPr>
            <w:tcW w:w="0" w:type="dxa"/>
            <w:vAlign w:val="bottom"/>
          </w:tcPr>
          <w:p>
            <w:pPr>
              <w:spacing w:after="0"/>
              <w:rPr>
                <w:sz w:val="1"/>
                <w:szCs w:val="1"/>
                <w:color w:val="auto"/>
              </w:rPr>
            </w:pPr>
          </w:p>
        </w:tc>
      </w:tr>
      <w:tr>
        <w:trPr>
          <w:trHeight w:val="175"/>
        </w:trPr>
        <w:tc>
          <w:tcPr>
            <w:tcW w:w="25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(excluding securities reflected in</w:t>
            </w:r>
          </w:p>
        </w:tc>
        <w:tc>
          <w:tcPr>
            <w:tcW w:w="0" w:type="dxa"/>
            <w:vAlign w:val="bottom"/>
          </w:tcPr>
          <w:p>
            <w:pPr>
              <w:spacing w:after="0"/>
              <w:rPr>
                <w:sz w:val="1"/>
                <w:szCs w:val="1"/>
                <w:color w:val="auto"/>
              </w:rPr>
            </w:pPr>
          </w:p>
        </w:tc>
      </w:tr>
      <w:tr>
        <w:trPr>
          <w:trHeight w:val="230"/>
        </w:trPr>
        <w:tc>
          <w:tcPr>
            <w:tcW w:w="22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 xml:space="preserve">warrants and rights (a) </w:t>
            </w:r>
            <w:r>
              <w:rPr>
                <w:rFonts w:ascii="Times New Roman" w:cs="Times New Roman" w:eastAsia="Times New Roman" w:hAnsi="Times New Roman"/>
                <w:sz w:val="23"/>
                <w:szCs w:val="23"/>
                <w:b w:val="1"/>
                <w:bCs w:val="1"/>
                <w:color w:val="auto"/>
                <w:w w:val="97"/>
                <w:vertAlign w:val="superscript"/>
              </w:rPr>
              <w:t>(1)</w:t>
            </w:r>
          </w:p>
        </w:tc>
        <w:tc>
          <w:tcPr>
            <w:tcW w:w="26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80" w:type="dxa"/>
            <w:vAlign w:val="bottom"/>
          </w:tcPr>
          <w:p>
            <w:pPr>
              <w:spacing w:after="0"/>
              <w:rPr>
                <w:sz w:val="19"/>
                <w:szCs w:val="19"/>
                <w:color w:val="auto"/>
              </w:rPr>
            </w:pPr>
          </w:p>
        </w:tc>
        <w:tc>
          <w:tcPr>
            <w:tcW w:w="26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 xml:space="preserve">column (a)) </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399"/>
        </w:trPr>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1,093,877</w:t>
            </w:r>
          </w:p>
        </w:tc>
        <w:tc>
          <w:tcPr>
            <w:tcW w:w="260" w:type="dxa"/>
            <w:vAlign w:val="bottom"/>
          </w:tcPr>
          <w:p>
            <w:pPr>
              <w:spacing w:after="0"/>
              <w:rPr>
                <w:sz w:val="24"/>
                <w:szCs w:val="24"/>
                <w:color w:val="auto"/>
              </w:rPr>
            </w:pPr>
          </w:p>
        </w:tc>
        <w:tc>
          <w:tcPr>
            <w:tcW w:w="220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6"/>
              </w:rPr>
              <w:t>N/A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30,233,525</w:t>
            </w:r>
          </w:p>
        </w:tc>
        <w:tc>
          <w:tcPr>
            <w:tcW w:w="0" w:type="dxa"/>
            <w:vAlign w:val="bottom"/>
          </w:tcPr>
          <w:p>
            <w:pPr>
              <w:spacing w:after="0"/>
              <w:rPr>
                <w:sz w:val="1"/>
                <w:szCs w:val="1"/>
                <w:color w:val="auto"/>
              </w:rPr>
            </w:pPr>
          </w:p>
        </w:tc>
      </w:tr>
      <w:tr>
        <w:trPr>
          <w:trHeight w:val="418"/>
        </w:trPr>
        <w:tc>
          <w:tcPr>
            <w:tcW w:w="2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w w:val="99"/>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1,093,877</w:t>
            </w:r>
          </w:p>
        </w:tc>
        <w:tc>
          <w:tcPr>
            <w:tcW w:w="26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w w:val="96"/>
              </w:rPr>
              <w:t>N/A</w:t>
            </w:r>
          </w:p>
        </w:tc>
        <w:tc>
          <w:tcPr>
            <w:tcW w:w="280" w:type="dxa"/>
            <w:vAlign w:val="bottom"/>
          </w:tcPr>
          <w:p>
            <w:pPr>
              <w:spacing w:after="0"/>
              <w:rPr>
                <w:sz w:val="19"/>
                <w:szCs w:val="19"/>
                <w:color w:val="auto"/>
              </w:rPr>
            </w:pP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30,233,525</w:t>
            </w:r>
          </w:p>
        </w:tc>
        <w:tc>
          <w:tcPr>
            <w:tcW w:w="0" w:type="dxa"/>
            <w:vAlign w:val="bottom"/>
          </w:tcPr>
          <w:p>
            <w:pPr>
              <w:spacing w:after="0"/>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-719455</wp:posOffset>
            </wp:positionV>
            <wp:extent cx="7132320" cy="265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-187960</wp:posOffset>
            </wp:positionV>
            <wp:extent cx="713232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520" w:space="420"/>
            <w:col w:w="7300"/>
          </w:cols>
          <w:pgMar w:left="32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outstanding RSUs and PRSUs granted under the LTIP as of March 31, 2025.</w:t>
      </w:r>
    </w:p>
    <w:p>
      <w:pPr>
        <w:spacing w:after="0" w:line="200" w:lineRule="exact"/>
        <w:rPr>
          <w:rFonts w:ascii="Times New Roman" w:cs="Times New Roman" w:eastAsia="Times New Roman" w:hAnsi="Times New Roman"/>
          <w:sz w:val="17"/>
          <w:szCs w:val="17"/>
          <w:color w:val="auto"/>
        </w:rPr>
      </w:pPr>
    </w:p>
    <w:p>
      <w:pPr>
        <w:spacing w:after="0" w:line="378" w:lineRule="exact"/>
        <w:rPr>
          <w:rFonts w:ascii="Times New Roman" w:cs="Times New Roman" w:eastAsia="Times New Roman" w:hAnsi="Times New Roman"/>
          <w:sz w:val="17"/>
          <w:szCs w:val="17"/>
          <w:color w:val="auto"/>
        </w:rPr>
      </w:pPr>
    </w:p>
    <w:p>
      <w:pPr>
        <w:ind w:left="5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hanging="652"/>
        <w:spacing w:after="0" w:line="256" w:lineRule="auto"/>
        <w:tabs>
          <w:tab w:leader="none" w:pos="65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2,130,193 shares available for issuance under the ESPP as of March 31, 2025 and 28,103,332 shares available for issuance under the LTIP as of March 31, 2025. The aggregate number of our shares available for future issuance under the LTIP automatically increases on January 1st of each year beginning in 2021 and ending with a final increase on January 1, 2030, in an amount equal to 5% of the total number of shares of stock outstanding on December 31st of the preceding calendar year. The Board may provide that there will be no January 1st increase in the shares available for future issuance for any such year or that the increase in the shares available for future issuance for any such year will be a smaller number of shares than would otherwise occur under the automatic increase.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3"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titled “Certain Relationships and Related Person Transactions” and “Director Independence” of the definitive Proxy Statement for our 2025 Annual Meeting of Stockholders, which will be filed with the Securities and Exchange Commission no later than 120 days after 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3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 titled “Independent Registered Public Accounting Firm” of the definitive Proxy Statement for our 2025 Annual Meeting of Stockholders, which will be filed with the Securities and Exchange Commission no later than 120 days after March 31, 2025.</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The following documents are filed as part of this Form 10-K: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10040" w:type="dxa"/>
            <w:vAlign w:val="bottom"/>
            <w:tcBorders>
              <w:top w:val="single" w:sz="8" w:color="auto"/>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6"/>
              </w:rPr>
              <w:t>132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March 31, 2025 and 2024</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136</w:t>
            </w: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Income (Loss) for the Years Ended March 31, 2025, 2024 and 2023</w:t>
            </w:r>
          </w:p>
        </w:tc>
        <w:tc>
          <w:tcPr>
            <w:tcW w:w="3220" w:type="dxa"/>
            <w:vAlign w:val="bottom"/>
            <w:gridSpan w:val="4"/>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March 31, 2025, 2024 and 2023</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139</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3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March 31, 2025, 2024 and 2023</w:t>
            </w:r>
          </w:p>
        </w:tc>
        <w:tc>
          <w:tcPr>
            <w:tcW w:w="2740" w:type="dxa"/>
            <w:vAlign w:val="bottom"/>
            <w:gridSpan w:val="3"/>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March 31, 2025, 2024 and 2023</w:t>
            </w:r>
          </w:p>
        </w:tc>
        <w:tc>
          <w:tcPr>
            <w:tcW w:w="2740" w:type="dxa"/>
            <w:vAlign w:val="bottom"/>
            <w:gridSpan w:val="3"/>
          </w:tcPr>
          <w:p>
            <w:pPr>
              <w:spacing w:after="0"/>
              <w:rPr>
                <w:sz w:val="16"/>
                <w:szCs w:val="16"/>
                <w:color w:val="auto"/>
              </w:rPr>
            </w:pP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142</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29" w:lineRule="exact"/>
        <w:rPr>
          <w:sz w:val="20"/>
          <w:szCs w:val="20"/>
          <w:color w:val="auto"/>
        </w:rPr>
      </w:pPr>
    </w:p>
    <w:p>
      <w:pPr>
        <w:ind w:right="660" w:firstLine="648"/>
        <w:spacing w:after="0" w:line="269" w:lineRule="auto"/>
        <w:rPr>
          <w:sz w:val="20"/>
          <w:szCs w:val="20"/>
          <w:color w:val="auto"/>
        </w:rPr>
      </w:pPr>
      <w:r>
        <w:rPr>
          <w:rFonts w:ascii="Times New Roman" w:cs="Times New Roman" w:eastAsia="Times New Roman" w:hAnsi="Times New Roman"/>
          <w:sz w:val="20"/>
          <w:szCs w:val="20"/>
          <w:color w:val="auto"/>
        </w:rPr>
        <w:t>All financial statement schedules have been omitted because they are not applicable, not required or the information has been otherwise included in the consolidated financial statements or accompanying notes to the consolidated financial statements.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(3)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20" w:type="dxa"/>
            <w:vAlign w:val="bottom"/>
          </w:tcPr>
          <w:p>
            <w:pPr>
              <w:spacing w:after="0"/>
              <w:rPr>
                <w:sz w:val="16"/>
                <w:szCs w:val="16"/>
                <w:color w:val="auto"/>
              </w:rPr>
            </w:pPr>
          </w:p>
        </w:tc>
        <w:tc>
          <w:tcPr>
            <w:tcW w:w="1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7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gridSpan w:val="3"/>
          </w:tcPr>
          <w:p>
            <w:pPr>
              <w:ind w:left="20"/>
              <w:spacing w:after="0" w:line="182"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4700" w:type="dxa"/>
            <w:vAlign w:val="bottom"/>
            <w:gridSpan w:val="14"/>
          </w:tcPr>
          <w:p>
            <w:pPr>
              <w:spacing w:after="0" w:line="182"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Transaction Agreement, dated July 7, 2021, by and among,</w:t>
              </w:r>
            </w:hyperlink>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StepStone Group Inc., StepStone Group LP, certain wholly</w:t>
              </w:r>
            </w:hyperlink>
          </w:p>
        </w:tc>
        <w:tc>
          <w:tcPr>
            <w:tcW w:w="60" w:type="dxa"/>
            <w:vAlign w:val="bottom"/>
            <w:tcBorders>
              <w:bottom w:val="single" w:sz="8" w:color="0000FF"/>
            </w:tcBorders>
          </w:tcPr>
          <w:p>
            <w:pPr>
              <w:jc w:val="right"/>
              <w:spacing w:after="0" w:line="169" w:lineRule="exact"/>
              <w:rPr>
                <w:rFonts w:ascii="Times New Roman" w:cs="Times New Roman" w:eastAsia="Times New Roman" w:hAnsi="Times New Roman"/>
                <w:sz w:val="16"/>
                <w:szCs w:val="16"/>
                <w:color w:val="0000FF"/>
                <w:w w:val="74"/>
              </w:rPr>
            </w:pPr>
            <w:hyperlink r:id="rId215">
              <w:r>
                <w:rPr>
                  <w:rFonts w:ascii="Times New Roman" w:cs="Times New Roman" w:eastAsia="Times New Roman" w:hAnsi="Times New Roman"/>
                  <w:sz w:val="16"/>
                  <w:szCs w:val="16"/>
                  <w:color w:val="0000FF"/>
                  <w:w w:val="74"/>
                </w:rPr>
                <w:t>-</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30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215">
              <w:r>
                <w:rPr>
                  <w:rFonts w:ascii="Times New Roman" w:cs="Times New Roman" w:eastAsia="Times New Roman" w:hAnsi="Times New Roman"/>
                  <w:sz w:val="18"/>
                  <w:szCs w:val="18"/>
                  <w:color w:val="0000FF"/>
                  <w:w w:val="98"/>
                </w:rPr>
                <w:t>owned subsidiaries of StepStone Group LP, the sellers party</w:t>
              </w:r>
            </w:hyperlink>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700" w:type="dxa"/>
            <w:vAlign w:val="bottom"/>
            <w:gridSpan w:val="14"/>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thereto, Greenspring Associates, Inc. and certain of its affiliates</w:t>
              </w:r>
            </w:hyperlink>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and Shareholder Representative Services LLC, as Seller</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3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7/07/2021</w:t>
            </w:r>
          </w:p>
        </w:tc>
        <w:tc>
          <w:tcPr>
            <w:tcW w:w="1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2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Representative.</w:t>
              </w:r>
            </w:hyperlink>
          </w:p>
        </w:tc>
        <w:tc>
          <w:tcPr>
            <w:tcW w:w="3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3"/>
          </w:tcPr>
          <w:p>
            <w:pPr>
              <w:ind w:left="20"/>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4700" w:type="dxa"/>
            <w:vAlign w:val="bottom"/>
            <w:gridSpan w:val="14"/>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Transaction Agreement, dated February 7, 2024, by and among</w:t>
              </w:r>
            </w:hyperlink>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StepStone Group Inc., StepStone Group LP, StepStone Group</w:t>
              </w:r>
            </w:hyperlink>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216">
              <w:r>
                <w:rPr>
                  <w:rFonts w:ascii="Times New Roman" w:cs="Times New Roman" w:eastAsia="Times New Roman" w:hAnsi="Times New Roman"/>
                  <w:sz w:val="18"/>
                  <w:szCs w:val="18"/>
                  <w:color w:val="0000FF"/>
                  <w:w w:val="98"/>
                </w:rPr>
                <w:t>Real Estate LP, Jeffrey Giller, solely in his capacity as a seller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3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2/08/2024</w:t>
            </w:r>
          </w:p>
        </w:tc>
        <w:tc>
          <w:tcPr>
            <w:tcW w:w="1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80" w:type="dxa"/>
            <w:vAlign w:val="bottom"/>
            <w:gridSpan w:val="9"/>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representative, and the seller parties signatory thereto.</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3"/>
          </w:tcPr>
          <w:p>
            <w:pPr>
              <w:ind w:left="20"/>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hyperlink>
          </w:p>
        </w:tc>
        <w:tc>
          <w:tcPr>
            <w:tcW w:w="4700" w:type="dxa"/>
            <w:vAlign w:val="bottom"/>
            <w:gridSpan w:val="14"/>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Transaction Agreement, dated February 7, 2024, by and among</w:t>
              </w:r>
            </w:hyperlink>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4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StepStone Group Inc., StepStone Group LP, StepStone Group</w:t>
              </w:r>
            </w:hyperlink>
          </w:p>
        </w:tc>
        <w:tc>
          <w:tcPr>
            <w:tcW w:w="100" w:type="dxa"/>
            <w:vAlign w:val="bottom"/>
            <w:tcBorders>
              <w:top w:val="single" w:sz="8" w:color="0000FF"/>
            </w:tcBorders>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700" w:type="dxa"/>
            <w:vAlign w:val="bottom"/>
            <w:gridSpan w:val="14"/>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Real Assets LP, James O’Leary, solely in his capacity as a seller</w:t>
              </w:r>
            </w:hyperlink>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3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2/08/2024</w:t>
            </w:r>
          </w:p>
        </w:tc>
        <w:tc>
          <w:tcPr>
            <w:tcW w:w="1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representative, and the seller parties signatory thereto.</w:t>
              </w:r>
            </w:hyperlink>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3"/>
          </w:tcPr>
          <w:p>
            <w:pPr>
              <w:ind w:left="20"/>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4</w:t>
              </w:r>
            </w:hyperlink>
          </w:p>
        </w:tc>
        <w:tc>
          <w:tcPr>
            <w:tcW w:w="4700" w:type="dxa"/>
            <w:vAlign w:val="bottom"/>
            <w:gridSpan w:val="14"/>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Transaction Agreement, dated February 7, 2024, by and among</w:t>
              </w:r>
            </w:hyperlink>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StepStone Group Inc., StepStone Group LP, StepStone Europe</w:t>
              </w:r>
            </w:hyperlink>
          </w:p>
        </w:tc>
        <w:tc>
          <w:tcPr>
            <w:tcW w:w="16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Limited, Swiss Capital Alternative Investments AG, Marcel</w:t>
              </w:r>
            </w:hyperlink>
          </w:p>
        </w:tc>
        <w:tc>
          <w:tcPr>
            <w:tcW w:w="180" w:type="dxa"/>
            <w:vAlign w:val="bottom"/>
            <w:tcBorders>
              <w:top w:val="single" w:sz="8" w:color="0000FF"/>
            </w:tcBorders>
            <w:gridSpan w:val="4"/>
          </w:tcPr>
          <w:p>
            <w:pPr>
              <w:spacing w:after="0"/>
              <w:rPr>
                <w:sz w:val="13"/>
                <w:szCs w:val="13"/>
                <w:color w:val="auto"/>
              </w:rPr>
            </w:pPr>
          </w:p>
        </w:tc>
        <w:tc>
          <w:tcPr>
            <w:tcW w:w="2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700" w:type="dxa"/>
            <w:vAlign w:val="bottom"/>
            <w:gridSpan w:val="14"/>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Schindler, solely in his capacity as a seller representative, and</w:t>
              </w:r>
            </w:hyperlink>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3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2/08/2024</w:t>
            </w:r>
          </w:p>
        </w:tc>
        <w:tc>
          <w:tcPr>
            <w:tcW w:w="1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18">
              <w:r>
                <w:rPr>
                  <w:rFonts w:ascii="Times New Roman" w:cs="Times New Roman" w:eastAsia="Times New Roman" w:hAnsi="Times New Roman"/>
                  <w:sz w:val="18"/>
                  <w:szCs w:val="18"/>
                  <w:color w:val="0000FF"/>
                  <w:w w:val="97"/>
                </w:rPr>
                <w:t>SC Partner LP.</w:t>
              </w:r>
            </w:hyperlink>
          </w:p>
        </w:tc>
        <w:tc>
          <w:tcPr>
            <w:tcW w:w="3360" w:type="dxa"/>
            <w:vAlign w:val="bottom"/>
            <w:tcBorders>
              <w:top w:val="single" w:sz="8" w:color="0000FF"/>
            </w:tcBorders>
            <w:gridSpan w:val="7"/>
          </w:tcPr>
          <w:p>
            <w:pPr>
              <w:spacing w:after="0"/>
              <w:rPr>
                <w:sz w:val="14"/>
                <w:szCs w:val="14"/>
                <w:color w:val="auto"/>
              </w:rPr>
            </w:pPr>
          </w:p>
        </w:tc>
        <w:tc>
          <w:tcPr>
            <w:tcW w:w="240" w:type="dxa"/>
            <w:vAlign w:val="bottom"/>
            <w:gridSpan w:val="6"/>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0" w:type="dxa"/>
            <w:vAlign w:val="bottom"/>
          </w:tcPr>
          <w:p>
            <w:pPr>
              <w:spacing w:after="0"/>
              <w:rPr>
                <w:rFonts w:ascii="Times New Roman" w:cs="Times New Roman" w:eastAsia="Times New Roman" w:hAnsi="Times New Roman"/>
                <w:sz w:val="18"/>
                <w:szCs w:val="18"/>
                <w:color w:val="0000FF"/>
                <w:w w:val="97"/>
              </w:rPr>
            </w:pPr>
            <w:hyperlink r:id="rId22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20" w:type="dxa"/>
            <w:vAlign w:val="bottom"/>
            <w:gridSpan w:val="36"/>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Amended and Restated Certificate of Incorporation of StepStone</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9/18/2020</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Group Inc.</w:t>
              </w:r>
            </w:hyperlink>
          </w:p>
        </w:tc>
        <w:tc>
          <w:tcPr>
            <w:tcW w:w="1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rFonts w:ascii="Times New Roman" w:cs="Times New Roman" w:eastAsia="Times New Roman" w:hAnsi="Times New Roman"/>
                <w:sz w:val="18"/>
                <w:szCs w:val="18"/>
                <w:color w:val="0000FF"/>
                <w:w w:val="97"/>
              </w:rPr>
            </w:pPr>
            <w:hyperlink r:id="rId22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20" w:type="dxa"/>
            <w:vAlign w:val="bottom"/>
            <w:gridSpan w:val="36"/>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Amended and Restated Bylaws of StepStone Group Inc.</w:t>
              </w:r>
            </w:hyperlink>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2/09/2023</w:t>
            </w:r>
          </w:p>
        </w:tc>
        <w:tc>
          <w:tcPr>
            <w:tcW w:w="17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209"/>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78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rFonts w:ascii="Times New Roman" w:cs="Times New Roman" w:eastAsia="Times New Roman" w:hAnsi="Times New Roman"/>
                <w:sz w:val="18"/>
                <w:szCs w:val="18"/>
                <w:color w:val="0000FF"/>
                <w:w w:val="97"/>
              </w:rPr>
            </w:pPr>
            <w:hyperlink r:id="rId22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36"/>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Form of 5.52% Series A Senior Note due October 22, 2029</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10/23/2024</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8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(included in Exhibit 10.18)</w:t>
              </w:r>
              <w:r>
                <w:rPr>
                  <w:rFonts w:ascii="Times New Roman" w:cs="Times New Roman" w:eastAsia="Times New Roman" w:hAnsi="Times New Roman"/>
                  <w:sz w:val="16"/>
                  <w:szCs w:val="16"/>
                  <w:color w:val="000000"/>
                </w:rPr>
                <w:t>.</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2"/>
          </w:tcPr>
          <w:p>
            <w:pPr>
              <w:spacing w:after="0"/>
              <w:rPr>
                <w:rFonts w:ascii="Times New Roman" w:cs="Times New Roman" w:eastAsia="Times New Roman" w:hAnsi="Times New Roman"/>
                <w:sz w:val="18"/>
                <w:szCs w:val="18"/>
                <w:color w:val="0000FF"/>
                <w:w w:val="95"/>
              </w:rPr>
            </w:pPr>
            <w:hyperlink r:id="rId22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20" w:type="dxa"/>
            <w:vAlign w:val="bottom"/>
            <w:gridSpan w:val="36"/>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Tenth Amended and Restated Limited Partnership Agreement of</w:t>
              </w:r>
            </w:hyperlink>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StepStone Group LP, dated as of May 31, 2024, by and among</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0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StepStone Group Holdings LLC, as General Partner, and each</w:t>
              </w:r>
            </w:hyperlink>
          </w:p>
        </w:tc>
        <w:tc>
          <w:tcPr>
            <w:tcW w:w="320" w:type="dxa"/>
            <w:vAlign w:val="bottom"/>
            <w:gridSpan w:val="12"/>
          </w:tcPr>
          <w:p>
            <w:pPr>
              <w:spacing w:after="0" w:line="169"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of</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5/31/2024</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the other persons and entities party thereto.</w:t>
              </w:r>
            </w:hyperlink>
          </w:p>
        </w:tc>
        <w:tc>
          <w:tcPr>
            <w:tcW w:w="15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rFonts w:ascii="Times New Roman" w:cs="Times New Roman" w:eastAsia="Times New Roman" w:hAnsi="Times New Roman"/>
                <w:sz w:val="18"/>
                <w:szCs w:val="18"/>
                <w:color w:val="0000FF"/>
                <w:w w:val="95"/>
              </w:rPr>
            </w:pPr>
            <w:hyperlink r:id="rId22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36"/>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Tax Receivable Agreement (Exchanges), dated as of September</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w w:val="97"/>
              </w:rPr>
            </w:pPr>
            <w:hyperlink r:id="rId224">
              <w:r>
                <w:rPr>
                  <w:rFonts w:ascii="Times New Roman" w:cs="Times New Roman" w:eastAsia="Times New Roman" w:hAnsi="Times New Roman"/>
                  <w:sz w:val="18"/>
                  <w:szCs w:val="18"/>
                  <w:color w:val="0000FF"/>
                  <w:w w:val="97"/>
                </w:rPr>
                <w:t>18, 2020, by and among StepStone Group Inc., StepStone Group</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9/18/2020</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6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LP, and each of the other persons and entities party thereto.</w:t>
              </w:r>
            </w:hyperlink>
          </w:p>
        </w:tc>
        <w:tc>
          <w:tcPr>
            <w:tcW w:w="440" w:type="dxa"/>
            <w:vAlign w:val="bottom"/>
            <w:gridSpan w:val="1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22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8"/>
              </w:rPr>
            </w:pPr>
            <w:hyperlink r:id="rId225">
              <w:r>
                <w:rPr>
                  <w:rFonts w:ascii="Times New Roman" w:cs="Times New Roman" w:eastAsia="Times New Roman" w:hAnsi="Times New Roman"/>
                  <w:sz w:val="18"/>
                  <w:szCs w:val="18"/>
                  <w:color w:val="0000FF"/>
                  <w:w w:val="98"/>
                </w:rPr>
                <w:t>Tax Receivable Agreement (Reorganization), dated as of</w:t>
              </w:r>
            </w:hyperlink>
          </w:p>
        </w:tc>
        <w:tc>
          <w:tcPr>
            <w:tcW w:w="74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0" w:type="dxa"/>
            <w:vAlign w:val="bottom"/>
            <w:tcBorders>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September 18, 2020, by and among StepStone Group Inc.,</w:t>
              </w:r>
            </w:hyperlink>
          </w:p>
        </w:tc>
        <w:tc>
          <w:tcPr>
            <w:tcW w:w="620" w:type="dxa"/>
            <w:vAlign w:val="bottom"/>
            <w:gridSpan w:val="19"/>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20" w:type="dxa"/>
            <w:vAlign w:val="bottom"/>
            <w:gridSpan w:val="36"/>
          </w:tcPr>
          <w:p>
            <w:pPr>
              <w:spacing w:after="0" w:line="169"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StepStone Group LP, and each of the other persons and entities</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9/18/2020</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225">
              <w:r>
                <w:rPr>
                  <w:rFonts w:ascii="Times New Roman" w:cs="Times New Roman" w:eastAsia="Times New Roman" w:hAnsi="Times New Roman"/>
                  <w:sz w:val="18"/>
                  <w:szCs w:val="18"/>
                  <w:color w:val="0000FF"/>
                  <w:w w:val="97"/>
                </w:rPr>
                <w:t>party thereto.</w:t>
              </w:r>
            </w:hyperlink>
          </w:p>
        </w:tc>
        <w:tc>
          <w:tcPr>
            <w:tcW w:w="3600" w:type="dxa"/>
            <w:vAlign w:val="bottom"/>
            <w:tcBorders>
              <w:top w:val="single" w:sz="8" w:color="0000FF"/>
            </w:tcBorders>
            <w:gridSpan w:val="24"/>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rFonts w:ascii="Times New Roman" w:cs="Times New Roman" w:eastAsia="Times New Roman" w:hAnsi="Times New Roman"/>
                <w:sz w:val="18"/>
                <w:szCs w:val="18"/>
                <w:color w:val="0000FF"/>
                <w:w w:val="95"/>
              </w:rPr>
            </w:pPr>
            <w:hyperlink r:id="rId226">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36"/>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Exchange Agreement, dated as of September 18, 2020, by and</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among the Company, the Partnership, and each of the other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9/18/2020</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8"/>
              </w:rPr>
            </w:pPr>
            <w:hyperlink r:id="rId226">
              <w:r>
                <w:rPr>
                  <w:rFonts w:ascii="Times New Roman" w:cs="Times New Roman" w:eastAsia="Times New Roman" w:hAnsi="Times New Roman"/>
                  <w:sz w:val="18"/>
                  <w:szCs w:val="18"/>
                  <w:color w:val="0000FF"/>
                  <w:w w:val="98"/>
                </w:rPr>
                <w:t>persons and entities party thereto.</w:t>
              </w:r>
            </w:hyperlink>
          </w:p>
        </w:tc>
        <w:tc>
          <w:tcPr>
            <w:tcW w:w="18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5"/>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rFonts w:ascii="Times New Roman" w:cs="Times New Roman" w:eastAsia="Times New Roman" w:hAnsi="Times New Roman"/>
                <w:sz w:val="18"/>
                <w:szCs w:val="18"/>
                <w:color w:val="0000FF"/>
                <w:w w:val="95"/>
              </w:rPr>
            </w:pPr>
            <w:hyperlink r:id="rId22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36"/>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Second Amended &amp; Restated Registration Rights Agreement,</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20" w:type="dxa"/>
            <w:vAlign w:val="bottom"/>
            <w:gridSpan w:val="36"/>
          </w:tcPr>
          <w:p>
            <w:pPr>
              <w:spacing w:after="0" w:line="15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dated as of May 31, 2024, by and among the Company and the</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5/31/2024</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other persons and entities party thereto.</w:t>
              </w:r>
            </w:hyperlink>
          </w:p>
        </w:tc>
        <w:tc>
          <w:tcPr>
            <w:tcW w:w="168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5"/>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rFonts w:ascii="Times New Roman" w:cs="Times New Roman" w:eastAsia="Times New Roman" w:hAnsi="Times New Roman"/>
                <w:sz w:val="18"/>
                <w:szCs w:val="18"/>
                <w:color w:val="0000FF"/>
                <w:w w:val="95"/>
              </w:rPr>
            </w:pPr>
            <w:hyperlink r:id="rId228">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36"/>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Amended and Restated Stockholders Agreement, dated as of</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3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September 20, 2021, by and among the Company, the</w:t>
              </w:r>
            </w:hyperlink>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6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Partnership and the other persons and entities party</w:t>
              </w:r>
            </w:hyperlink>
          </w:p>
        </w:tc>
        <w:tc>
          <w:tcPr>
            <w:tcW w:w="44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76"/>
              </w:rPr>
            </w:pPr>
            <w:hyperlink r:id="rId228">
              <w:r>
                <w:rPr>
                  <w:rFonts w:ascii="Times New Roman" w:cs="Times New Roman" w:eastAsia="Times New Roman" w:hAnsi="Times New Roman"/>
                  <w:sz w:val="18"/>
                  <w:szCs w:val="18"/>
                  <w:color w:val="0000FF"/>
                  <w:w w:val="76"/>
                </w:rPr>
                <w:t>thereto.</w:t>
              </w:r>
            </w:hyperlink>
          </w:p>
        </w:tc>
        <w:tc>
          <w:tcPr>
            <w:tcW w:w="520" w:type="dxa"/>
            <w:vAlign w:val="bottom"/>
            <w:gridSpan w:val="16"/>
          </w:tcPr>
          <w:p>
            <w:pPr>
              <w:spacing w:after="0"/>
              <w:rPr>
                <w:sz w:val="14"/>
                <w:szCs w:val="14"/>
                <w:color w:val="auto"/>
              </w:rPr>
            </w:pPr>
          </w:p>
        </w:tc>
        <w:tc>
          <w:tcPr>
            <w:tcW w:w="8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10.2</w:t>
            </w:r>
          </w:p>
        </w:tc>
        <w:tc>
          <w:tcPr>
            <w:tcW w:w="1240" w:type="dxa"/>
            <w:vAlign w:val="bottom"/>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rPr>
              <w:t>9/20/2021</w:t>
            </w:r>
          </w:p>
        </w:tc>
        <w:tc>
          <w:tcPr>
            <w:tcW w:w="1780" w:type="dxa"/>
            <w:vAlign w:val="bottom"/>
          </w:tcPr>
          <w:p>
            <w:pPr>
              <w:jc w:val="center"/>
              <w:ind w:right="510"/>
              <w:spacing w:after="0" w:line="169" w:lineRule="exact"/>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209"/>
        </w:trPr>
        <w:tc>
          <w:tcPr>
            <w:tcW w:w="1200" w:type="dxa"/>
            <w:vAlign w:val="bottom"/>
            <w:gridSpan w:val="5"/>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r>
              <w:rPr>
                <w:rFonts w:ascii="Times New Roman" w:cs="Times New Roman" w:eastAsia="Times New Roman" w:hAnsi="Times New Roman"/>
                <w:sz w:val="18"/>
                <w:szCs w:val="18"/>
                <w:color w:val="000000"/>
              </w:rPr>
              <w:t>†</w:t>
            </w:r>
          </w:p>
        </w:tc>
        <w:tc>
          <w:tcPr>
            <w:tcW w:w="4820" w:type="dxa"/>
            <w:vAlign w:val="bottom"/>
            <w:gridSpan w:val="36"/>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StepStone Group Inc. 2020 Long-Term Incentive Plan.</w:t>
              </w:r>
            </w:hyperlink>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9/18/2020</w:t>
            </w:r>
          </w:p>
        </w:tc>
        <w:tc>
          <w:tcPr>
            <w:tcW w:w="17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00"/>
              </w:rPr>
              <w:t>†</w:t>
            </w:r>
          </w:p>
        </w:tc>
        <w:tc>
          <w:tcPr>
            <w:tcW w:w="48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 under the 2020</w:t>
            </w: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Long-Term Incentive Plan.</w:t>
            </w:r>
          </w:p>
        </w:tc>
        <w:tc>
          <w:tcPr>
            <w:tcW w:w="500" w:type="dxa"/>
            <w:vAlign w:val="bottom"/>
            <w:tcBorders>
              <w:top w:val="single" w:sz="8" w:color="0000FF"/>
            </w:tcBorders>
            <w:gridSpan w:val="2"/>
          </w:tcPr>
          <w:p>
            <w:pPr>
              <w:spacing w:after="0"/>
              <w:rPr>
                <w:sz w:val="13"/>
                <w:szCs w:val="13"/>
                <w:color w:val="auto"/>
              </w:rPr>
            </w:pPr>
          </w:p>
        </w:tc>
        <w:tc>
          <w:tcPr>
            <w:tcW w:w="800" w:type="dxa"/>
            <w:vAlign w:val="bottom"/>
            <w:tcBorders>
              <w:top w:val="single" w:sz="8" w:color="0000FF"/>
            </w:tcBorders>
            <w:gridSpan w:val="3"/>
          </w:tcPr>
          <w:p>
            <w:pPr>
              <w:spacing w:after="0"/>
              <w:rPr>
                <w:sz w:val="13"/>
                <w:szCs w:val="13"/>
                <w:color w:val="auto"/>
              </w:rPr>
            </w:pPr>
          </w:p>
        </w:tc>
        <w:tc>
          <w:tcPr>
            <w:tcW w:w="900" w:type="dxa"/>
            <w:vAlign w:val="bottom"/>
            <w:tcBorders>
              <w:top w:val="single" w:sz="8" w:color="0000FF"/>
            </w:tcBorders>
            <w:gridSpan w:val="5"/>
          </w:tcPr>
          <w:p>
            <w:pPr>
              <w:spacing w:after="0"/>
              <w:rPr>
                <w:sz w:val="13"/>
                <w:szCs w:val="13"/>
                <w:color w:val="auto"/>
              </w:rPr>
            </w:pPr>
          </w:p>
        </w:tc>
        <w:tc>
          <w:tcPr>
            <w:tcW w:w="140" w:type="dxa"/>
            <w:vAlign w:val="bottom"/>
            <w:tcBorders>
              <w:top w:val="single" w:sz="8" w:color="0000FF"/>
            </w:tcBorders>
            <w:gridSpan w:val="4"/>
          </w:tcPr>
          <w:p>
            <w:pPr>
              <w:spacing w:after="0"/>
              <w:rPr>
                <w:sz w:val="13"/>
                <w:szCs w:val="13"/>
                <w:color w:val="auto"/>
              </w:rPr>
            </w:pPr>
          </w:p>
        </w:tc>
        <w:tc>
          <w:tcPr>
            <w:tcW w:w="14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gridSpan w:val="5"/>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5"/>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r>
              <w:rPr>
                <w:rFonts w:ascii="Times New Roman" w:cs="Times New Roman" w:eastAsia="Times New Roman" w:hAnsi="Times New Roman"/>
                <w:sz w:val="18"/>
                <w:szCs w:val="18"/>
                <w:color w:val="000000"/>
              </w:rPr>
              <w:t>†</w:t>
            </w:r>
          </w:p>
        </w:tc>
        <w:tc>
          <w:tcPr>
            <w:tcW w:w="4820" w:type="dxa"/>
            <w:vAlign w:val="bottom"/>
            <w:gridSpan w:val="36"/>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Form of Restricted Stock Unit Award Agreement under the 2020</w:t>
              </w:r>
            </w:hyperlink>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7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Long-Term Incentive Plan (for awards issued between February</w:t>
              </w:r>
            </w:hyperlink>
          </w:p>
        </w:tc>
        <w:tc>
          <w:tcPr>
            <w:tcW w:w="100" w:type="dxa"/>
            <w:vAlign w:val="bottom"/>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2/09/2023</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2023 and February 2025).</w:t>
              </w:r>
            </w:hyperlink>
          </w:p>
        </w:tc>
        <w:tc>
          <w:tcPr>
            <w:tcW w:w="220" w:type="dxa"/>
            <w:vAlign w:val="bottom"/>
            <w:gridSpan w:val="6"/>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5"/>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00"/>
              </w:rPr>
              <w:t>†</w:t>
            </w:r>
          </w:p>
        </w:tc>
        <w:tc>
          <w:tcPr>
            <w:tcW w:w="4820" w:type="dxa"/>
            <w:vAlign w:val="bottom"/>
            <w:gridSpan w:val="36"/>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of Restricted Stock Unit Award Agreement under the 2020</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7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Long-Term Incentive Plan (for awards issued prior to February</w:t>
              </w:r>
            </w:hyperlink>
          </w:p>
        </w:tc>
        <w:tc>
          <w:tcPr>
            <w:tcW w:w="100" w:type="dxa"/>
            <w:vAlign w:val="bottom"/>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5"/>
              </w:rPr>
              <w:t>S-1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8/24/2020</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333-248313</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231">
              <w:r>
                <w:rPr>
                  <w:rFonts w:ascii="Times New Roman" w:cs="Times New Roman" w:eastAsia="Times New Roman" w:hAnsi="Times New Roman"/>
                  <w:sz w:val="18"/>
                  <w:szCs w:val="18"/>
                  <w:color w:val="0000FF"/>
                  <w:w w:val="94"/>
                </w:rPr>
                <w:t>2023).</w:t>
              </w:r>
            </w:hyperlink>
          </w:p>
        </w:tc>
        <w:tc>
          <w:tcPr>
            <w:tcW w:w="3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5"/>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r>
              <w:rPr>
                <w:rFonts w:ascii="Times New Roman" w:cs="Times New Roman" w:eastAsia="Times New Roman" w:hAnsi="Times New Roman"/>
                <w:sz w:val="18"/>
                <w:szCs w:val="18"/>
                <w:color w:val="000000"/>
              </w:rPr>
              <w:t>†</w:t>
            </w:r>
          </w:p>
        </w:tc>
        <w:tc>
          <w:tcPr>
            <w:tcW w:w="4820" w:type="dxa"/>
            <w:vAlign w:val="bottom"/>
            <w:gridSpan w:val="36"/>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Form of Indemnification Agreement for directors and officers.</w:t>
              </w:r>
            </w:hyperlink>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8/24/2020</w:t>
            </w:r>
          </w:p>
        </w:tc>
        <w:tc>
          <w:tcPr>
            <w:tcW w:w="17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333-248313</w:t>
            </w:r>
          </w:p>
        </w:tc>
        <w:tc>
          <w:tcPr>
            <w:tcW w:w="0" w:type="dxa"/>
            <w:vAlign w:val="bottom"/>
          </w:tcPr>
          <w:p>
            <w:pPr>
              <w:spacing w:after="0"/>
              <w:rPr>
                <w:sz w:val="1"/>
                <w:szCs w:val="1"/>
                <w:color w:val="auto"/>
              </w:rPr>
            </w:pPr>
          </w:p>
        </w:tc>
      </w:tr>
      <w:tr>
        <w:trPr>
          <w:trHeight w:val="20"/>
        </w:trPr>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gridSpan w:val="4"/>
          </w:tcPr>
          <w:p>
            <w:pPr>
              <w:spacing w:after="0"/>
              <w:rPr>
                <w:rFonts w:ascii="Times New Roman" w:cs="Times New Roman" w:eastAsia="Times New Roman" w:hAnsi="Times New Roman"/>
                <w:sz w:val="18"/>
                <w:szCs w:val="18"/>
                <w:color w:val="0000FF"/>
                <w:w w:val="98"/>
              </w:rPr>
            </w:pPr>
            <w:hyperlink r:id="rId23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780" w:type="dxa"/>
            <w:vAlign w:val="bottom"/>
          </w:tcPr>
          <w:p>
            <w:pPr>
              <w:spacing w:after="0"/>
              <w:rPr>
                <w:sz w:val="18"/>
                <w:szCs w:val="18"/>
                <w:color w:val="auto"/>
              </w:rPr>
            </w:pPr>
          </w:p>
        </w:tc>
        <w:tc>
          <w:tcPr>
            <w:tcW w:w="4820" w:type="dxa"/>
            <w:vAlign w:val="bottom"/>
            <w:gridSpan w:val="36"/>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Class C Exchange Agreement, dated as of September 20, 2021,</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5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by and among the Company, the Partnership and the other</w:t>
              </w:r>
            </w:hyperlink>
          </w:p>
        </w:tc>
        <w:tc>
          <w:tcPr>
            <w:tcW w:w="260" w:type="dxa"/>
            <w:vAlign w:val="bottom"/>
            <w:gridSpan w:val="8"/>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9/20/2021</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8"/>
              </w:rPr>
            </w:pPr>
            <w:hyperlink r:id="rId233">
              <w:r>
                <w:rPr>
                  <w:rFonts w:ascii="Times New Roman" w:cs="Times New Roman" w:eastAsia="Times New Roman" w:hAnsi="Times New Roman"/>
                  <w:sz w:val="18"/>
                  <w:szCs w:val="18"/>
                  <w:color w:val="0000FF"/>
                  <w:w w:val="98"/>
                </w:rPr>
                <w:t>persons and entities party thereto.</w:t>
              </w:r>
            </w:hyperlink>
          </w:p>
        </w:tc>
        <w:tc>
          <w:tcPr>
            <w:tcW w:w="1740" w:type="dxa"/>
            <w:vAlign w:val="bottom"/>
            <w:tcBorders>
              <w:top w:val="single" w:sz="8" w:color="0000FF"/>
            </w:tcBorders>
            <w:gridSpan w:val="9"/>
          </w:tcPr>
          <w:p>
            <w:pPr>
              <w:spacing w:after="0"/>
              <w:rPr>
                <w:sz w:val="14"/>
                <w:szCs w:val="14"/>
                <w:color w:val="auto"/>
              </w:rPr>
            </w:pPr>
          </w:p>
        </w:tc>
        <w:tc>
          <w:tcPr>
            <w:tcW w:w="140" w:type="dxa"/>
            <w:vAlign w:val="bottom"/>
            <w:gridSpan w:val="4"/>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280" w:type="dxa"/>
            <w:vAlign w:val="bottom"/>
            <w:gridSpan w:val="10"/>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 w:type="dxa"/>
            <w:vAlign w:val="bottom"/>
            <w:gridSpan w:val="4"/>
          </w:tcPr>
          <w:p>
            <w:pPr>
              <w:spacing w:after="0"/>
              <w:rPr>
                <w:rFonts w:ascii="Times New Roman" w:cs="Times New Roman" w:eastAsia="Times New Roman" w:hAnsi="Times New Roman"/>
                <w:sz w:val="18"/>
                <w:szCs w:val="18"/>
                <w:color w:val="0000FF"/>
                <w:w w:val="98"/>
              </w:rPr>
            </w:pPr>
            <w:hyperlink r:id="rId23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780" w:type="dxa"/>
            <w:vAlign w:val="bottom"/>
          </w:tcPr>
          <w:p>
            <w:pPr>
              <w:spacing w:after="0"/>
              <w:rPr>
                <w:sz w:val="18"/>
                <w:szCs w:val="18"/>
                <w:color w:val="auto"/>
              </w:rPr>
            </w:pPr>
          </w:p>
        </w:tc>
        <w:tc>
          <w:tcPr>
            <w:tcW w:w="4820" w:type="dxa"/>
            <w:vAlign w:val="bottom"/>
            <w:gridSpan w:val="36"/>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Amended and Restated Credit Agreement, dated as of May 16,</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2024, by and among StepStone Group LP, JPMorgan Chase</w:t>
              </w:r>
            </w:hyperlink>
          </w:p>
        </w:tc>
        <w:tc>
          <w:tcPr>
            <w:tcW w:w="240" w:type="dxa"/>
            <w:vAlign w:val="bottom"/>
            <w:tcBorders>
              <w:top w:val="single" w:sz="8" w:color="0000FF"/>
            </w:tcBorders>
            <w:gridSpan w:val="6"/>
          </w:tcPr>
          <w:p>
            <w:pPr>
              <w:spacing w:after="0"/>
              <w:rPr>
                <w:sz w:val="13"/>
                <w:szCs w:val="13"/>
                <w:color w:val="auto"/>
              </w:rPr>
            </w:pPr>
          </w:p>
        </w:tc>
        <w:tc>
          <w:tcPr>
            <w:tcW w:w="280" w:type="dxa"/>
            <w:vAlign w:val="bottom"/>
            <w:gridSpan w:val="10"/>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20" w:type="dxa"/>
            <w:vAlign w:val="bottom"/>
            <w:gridSpan w:val="36"/>
          </w:tcPr>
          <w:p>
            <w:pPr>
              <w:spacing w:after="0" w:line="169"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Bank, N.A., as administrative agent and collateral agent, and</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5/17/2024</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certain other lenders party thereto.</w:t>
              </w:r>
            </w:hyperlink>
          </w:p>
        </w:tc>
        <w:tc>
          <w:tcPr>
            <w:tcW w:w="380" w:type="dxa"/>
            <w:vAlign w:val="bottom"/>
            <w:gridSpan w:val="14"/>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560" w:type="dxa"/>
            <w:vAlign w:val="bottom"/>
            <w:gridSpan w:val="2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23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780" w:type="dxa"/>
            <w:vAlign w:val="bottom"/>
          </w:tcPr>
          <w:p>
            <w:pPr>
              <w:spacing w:after="0"/>
              <w:rPr>
                <w:sz w:val="18"/>
                <w:szCs w:val="18"/>
                <w:color w:val="auto"/>
              </w:rPr>
            </w:pPr>
          </w:p>
        </w:tc>
        <w:tc>
          <w:tcPr>
            <w:tcW w:w="32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Option Agreement, dated November 2, 2022.</w:t>
              </w:r>
            </w:hyperlink>
          </w:p>
        </w:tc>
        <w:tc>
          <w:tcPr>
            <w:tcW w:w="1560" w:type="dxa"/>
            <w:vAlign w:val="bottom"/>
            <w:gridSpan w:val="25"/>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11/03/2022</w:t>
            </w:r>
          </w:p>
        </w:tc>
        <w:tc>
          <w:tcPr>
            <w:tcW w:w="17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4" w:right="8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gridSpan w:val="3"/>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r>
              <w:rPr>
                <w:rFonts w:ascii="Times New Roman" w:cs="Times New Roman" w:eastAsia="Times New Roman" w:hAnsi="Times New Roman"/>
                <w:sz w:val="18"/>
                <w:szCs w:val="18"/>
                <w:color w:val="000000"/>
              </w:rPr>
              <w:t>†</w:t>
            </w:r>
          </w:p>
        </w:tc>
        <w:tc>
          <w:tcPr>
            <w:tcW w:w="4820" w:type="dxa"/>
            <w:vAlign w:val="bottom"/>
            <w:gridSpan w:val="28"/>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Consulting Services Agreement, effective as of August 1, 2023,</w:t>
              </w:r>
            </w:hyperlink>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5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by and among StepStone Group Inc., StepStone Group LP,</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8/07/2023</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MMAR HNL, LLC and Monte Brem.</w:t>
              </w:r>
            </w:hyperlink>
          </w:p>
        </w:tc>
        <w:tc>
          <w:tcPr>
            <w:tcW w:w="1500" w:type="dxa"/>
            <w:vAlign w:val="bottom"/>
            <w:tcBorders>
              <w:top w:val="single" w:sz="8" w:color="0000FF"/>
            </w:tcBorders>
            <w:gridSpan w:val="5"/>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3"/>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r>
              <w:rPr>
                <w:rFonts w:ascii="Times New Roman" w:cs="Times New Roman" w:eastAsia="Times New Roman" w:hAnsi="Times New Roman"/>
                <w:sz w:val="18"/>
                <w:szCs w:val="18"/>
                <w:color w:val="000000"/>
              </w:rPr>
              <w:t>†</w:t>
            </w:r>
          </w:p>
        </w:tc>
        <w:tc>
          <w:tcPr>
            <w:tcW w:w="4820" w:type="dxa"/>
            <w:vAlign w:val="bottom"/>
            <w:gridSpan w:val="28"/>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StepStone Group Inc. 2023 Employee Stock Purchase Plan.</w:t>
              </w:r>
            </w:hyperlink>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S-8</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99.3</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9/18/2023</w:t>
            </w:r>
          </w:p>
        </w:tc>
        <w:tc>
          <w:tcPr>
            <w:tcW w:w="17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333-274556</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780" w:type="dxa"/>
            <w:vAlign w:val="bottom"/>
          </w:tcPr>
          <w:p>
            <w:pPr>
              <w:spacing w:after="0"/>
              <w:rPr>
                <w:sz w:val="18"/>
                <w:szCs w:val="18"/>
                <w:color w:val="auto"/>
              </w:rPr>
            </w:pPr>
          </w:p>
        </w:tc>
        <w:tc>
          <w:tcPr>
            <w:tcW w:w="4820" w:type="dxa"/>
            <w:vAlign w:val="bottom"/>
            <w:gridSpan w:val="28"/>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Class D Exchange Agreement, dated as of May 31, 2024, by and</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6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among the Company, the Partnership and the other persons and</w:t>
              </w:r>
            </w:hyperlink>
          </w:p>
        </w:tc>
        <w:tc>
          <w:tcPr>
            <w:tcW w:w="160" w:type="dxa"/>
            <w:vAlign w:val="bottom"/>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5/31/2024</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entities party thereto.</w:t>
              </w:r>
            </w:hyperlink>
          </w:p>
        </w:tc>
        <w:tc>
          <w:tcPr>
            <w:tcW w:w="302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3"/>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r>
              <w:rPr>
                <w:rFonts w:ascii="Times New Roman" w:cs="Times New Roman" w:eastAsia="Times New Roman" w:hAnsi="Times New Roman"/>
                <w:sz w:val="18"/>
                <w:szCs w:val="18"/>
                <w:color w:val="000000"/>
              </w:rPr>
              <w:t>^</w:t>
            </w:r>
          </w:p>
        </w:tc>
        <w:tc>
          <w:tcPr>
            <w:tcW w:w="4820" w:type="dxa"/>
            <w:vAlign w:val="bottom"/>
            <w:gridSpan w:val="28"/>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Note Purchase Agreement, dated as of October 22, 2024, by</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20" w:type="dxa"/>
            <w:vAlign w:val="bottom"/>
            <w:gridSpan w:val="28"/>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StepStone Group LP and acknowledged and agreed to by the</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10/23/2024</w:t>
            </w:r>
          </w:p>
        </w:tc>
        <w:tc>
          <w:tcPr>
            <w:tcW w:w="17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8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purchasers party thereto.</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r>
              <w:rPr>
                <w:rFonts w:ascii="Times New Roman" w:cs="Times New Roman" w:eastAsia="Times New Roman" w:hAnsi="Times New Roman"/>
                <w:sz w:val="18"/>
                <w:szCs w:val="18"/>
                <w:color w:val="000000"/>
              </w:rPr>
              <w:t>†</w:t>
            </w:r>
          </w:p>
        </w:tc>
        <w:tc>
          <w:tcPr>
            <w:tcW w:w="48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StepStone Group LP Evergreen Fund Incentive Plan</w:t>
            </w: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r>
              <w:rPr>
                <w:rFonts w:ascii="Times New Roman" w:cs="Times New Roman" w:eastAsia="Times New Roman" w:hAnsi="Times New Roman"/>
                <w:sz w:val="18"/>
                <w:szCs w:val="18"/>
                <w:color w:val="000000"/>
              </w:rPr>
              <w:t>†</w:t>
            </w:r>
          </w:p>
        </w:tc>
        <w:tc>
          <w:tcPr>
            <w:tcW w:w="48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Form of Award Agreement under the StepStone Group LP</w:t>
            </w: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Evergreen Fund Incentive Plan.</w:t>
            </w: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gridSpan w:val="2"/>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r>
              <w:rPr>
                <w:rFonts w:ascii="Times New Roman" w:cs="Times New Roman" w:eastAsia="Times New Roman" w:hAnsi="Times New Roman"/>
                <w:sz w:val="18"/>
                <w:szCs w:val="18"/>
                <w:color w:val="000000"/>
              </w:rPr>
              <w:t>†</w:t>
            </w:r>
          </w:p>
        </w:tc>
        <w:tc>
          <w:tcPr>
            <w:tcW w:w="48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Change in Control Severance Agreement, dated as of May 20,</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46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w w:val="99"/>
              </w:rPr>
              <w:t>2025, by and among the Company, the Partnership and David</w:t>
            </w:r>
          </w:p>
        </w:tc>
        <w:tc>
          <w:tcPr>
            <w:tcW w:w="20" w:type="dxa"/>
            <w:vAlign w:val="bottom"/>
          </w:tcPr>
          <w:p>
            <w:pPr>
              <w:spacing w:after="0"/>
              <w:rPr>
                <w:sz w:val="13"/>
                <w:szCs w:val="13"/>
                <w:color w:val="auto"/>
              </w:rPr>
            </w:pPr>
          </w:p>
        </w:tc>
        <w:tc>
          <w:tcPr>
            <w:tcW w:w="34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Y.</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40" w:type="dxa"/>
            <w:vAlign w:val="bottom"/>
            <w:tcBorders>
              <w:top w:val="single" w:sz="8" w:color="0000FF"/>
            </w:tcBorders>
            <w:gridSpan w:val="26"/>
          </w:tcPr>
          <w:p>
            <w:pPr>
              <w:spacing w:after="0" w:line="169" w:lineRule="exact"/>
              <w:rPr>
                <w:sz w:val="20"/>
                <w:szCs w:val="20"/>
                <w:color w:val="auto"/>
              </w:rPr>
            </w:pPr>
            <w:r>
              <w:rPr>
                <w:rFonts w:ascii="Times New Roman" w:cs="Times New Roman" w:eastAsia="Times New Roman" w:hAnsi="Times New Roman"/>
                <w:sz w:val="18"/>
                <w:szCs w:val="18"/>
                <w:color w:val="0000FF"/>
              </w:rPr>
              <w:t>Park.</w:t>
            </w:r>
          </w:p>
        </w:tc>
        <w:tc>
          <w:tcPr>
            <w:tcW w:w="18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StepStone Group Inc. Insider Trading Policy.</w:t>
            </w:r>
          </w:p>
        </w:tc>
        <w:tc>
          <w:tcPr>
            <w:tcW w:w="158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338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w:t>
            </w:r>
          </w:p>
        </w:tc>
        <w:tc>
          <w:tcPr>
            <w:tcW w:w="252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8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4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8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2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4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220" w:type="dxa"/>
            <w:vAlign w:val="bottom"/>
            <w:gridSpan w:val="6"/>
          </w:tcPr>
          <w:p>
            <w:pPr>
              <w:spacing w:after="0"/>
              <w:rPr>
                <w:sz w:val="14"/>
                <w:szCs w:val="14"/>
                <w:color w:val="auto"/>
              </w:rPr>
            </w:pPr>
          </w:p>
        </w:tc>
        <w:tc>
          <w:tcPr>
            <w:tcW w:w="6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0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w:t>
            </w: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2060" w:type="dxa"/>
            <w:vAlign w:val="bottom"/>
            <w:tcBorders>
              <w:top w:val="single" w:sz="8" w:color="0000FF"/>
            </w:tcBorders>
            <w:gridSpan w:val="17"/>
          </w:tcPr>
          <w:p>
            <w:pPr>
              <w:spacing w:after="0"/>
              <w:rPr>
                <w:sz w:val="13"/>
                <w:szCs w:val="13"/>
                <w:color w:val="auto"/>
              </w:rPr>
            </w:pPr>
          </w:p>
        </w:tc>
        <w:tc>
          <w:tcPr>
            <w:tcW w:w="20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2000" w:type="dxa"/>
            <w:vAlign w:val="bottom"/>
            <w:tcBorders>
              <w:top w:val="single" w:sz="8" w:color="0000FF"/>
            </w:tcBorders>
            <w:gridSpan w:val="15"/>
          </w:tcPr>
          <w:p>
            <w:pPr>
              <w:spacing w:after="0"/>
              <w:rPr>
                <w:sz w:val="13"/>
                <w:szCs w:val="13"/>
                <w:color w:val="auto"/>
              </w:rPr>
            </w:pPr>
          </w:p>
        </w:tc>
        <w:tc>
          <w:tcPr>
            <w:tcW w:w="26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240">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r:id="rId240">
              <w:r>
                <w:rPr>
                  <w:rFonts w:ascii="Times New Roman" w:cs="Times New Roman" w:eastAsia="Times New Roman" w:hAnsi="Times New Roman"/>
                  <w:sz w:val="18"/>
                  <w:szCs w:val="18"/>
                  <w:color w:val="0000FF"/>
                  <w:w w:val="98"/>
                </w:rPr>
                <w:t>StepStone Group Inc. Clawback Policy.</w:t>
              </w:r>
            </w:hyperlink>
          </w:p>
        </w:tc>
        <w:tc>
          <w:tcPr>
            <w:tcW w:w="1960" w:type="dxa"/>
            <w:vAlign w:val="bottom"/>
            <w:gridSpan w:val="18"/>
          </w:tcPr>
          <w:p>
            <w:pPr>
              <w:spacing w:after="0"/>
              <w:rPr>
                <w:sz w:val="19"/>
                <w:szCs w:val="19"/>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97.1</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5/24/2024</w:t>
            </w:r>
          </w:p>
        </w:tc>
        <w:tc>
          <w:tcPr>
            <w:tcW w:w="17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0760"/>
          </w:cols>
          <w:pgMar w:left="320" w:top="114" w:right="819" w:bottom="1440" w:gutter="0" w:footer="0" w:header="0"/>
        </w:sectPr>
      </w:pPr>
    </w:p>
    <w:p>
      <w:pPr>
        <w:ind w:left="1220" w:right="4020" w:hanging="1194"/>
        <w:spacing w:after="0" w:line="236" w:lineRule="auto"/>
        <w:tabs>
          <w:tab w:leader="none" w:pos="12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in Part II, Item 8, “Financial Statements and Supplementary Data” from our annual report on Form 10-K for the year ended March 31, 2025 formatted in Inline XBRL (Extensible Business Reporting Language): (i) the Consolidated Balance Sheets; (ii) the Consolidated Statements of Income (Loss); (iii) the Consolidated Statements of Comprehensive Income (Loss); (iv) the Consolidated Statements of Stockholders’ Equity; (v) the Consolidated Statements of Cash Flows; and (vi) Notes to Consolidated Financial Statements.</w:t>
      </w:r>
    </w:p>
    <w:p>
      <w:pPr>
        <w:spacing w:after="0" w:line="30" w:lineRule="exact"/>
        <w:rPr>
          <w:sz w:val="20"/>
          <w:szCs w:val="20"/>
          <w:color w:val="auto"/>
        </w:rPr>
      </w:pPr>
    </w:p>
    <w:p>
      <w:pPr>
        <w:ind w:left="1220" w:right="4040" w:hanging="1194"/>
        <w:spacing w:after="0" w:line="237" w:lineRule="auto"/>
        <w:tabs>
          <w:tab w:leader="none" w:pos="12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ectPr>
          <w:pgSz w:w="11900" w:h="16838" w:orient="portrait"/>
          <w:cols w:equalWidth="0" w:num="2">
            <w:col w:w="9900" w:space="720"/>
            <w:col w:w="140"/>
          </w:cols>
          <w:pgMar w:left="320" w:top="114" w:right="819" w:bottom="1440" w:gutter="0" w:footer="0" w:header="0"/>
          <w:type w:val="continuous"/>
        </w:sectPr>
      </w:pPr>
    </w:p>
    <w:p>
      <w:pPr>
        <w:spacing w:after="0" w:line="93" w:lineRule="exact"/>
        <w:rPr>
          <w:sz w:val="20"/>
          <w:szCs w:val="20"/>
          <w:color w:val="auto"/>
        </w:rPr>
      </w:pPr>
    </w:p>
    <w:p>
      <w:pPr>
        <w:ind w:left="1220" w:hanging="1194"/>
        <w:spacing w:after="0"/>
        <w:tabs>
          <w:tab w:leader="none" w:pos="12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Schedules and exhibits have been omitted pursuant to Item 601(a)(5) of Regulation S-K. The Company hereby undertakes to furnish</w:t>
      </w:r>
    </w:p>
    <w:p>
      <w:pPr>
        <w:ind w:left="1220" w:hanging="1194"/>
        <w:spacing w:after="0"/>
        <w:tabs>
          <w:tab w:leader="none" w:pos="12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copies of any of the omitted schedules and exhibits upon request by the U.S. Securities and Exchange Commission.</w:t>
      </w:r>
    </w:p>
    <w:p>
      <w:pPr>
        <w:spacing w:after="0" w:line="21" w:lineRule="exact"/>
        <w:rPr>
          <w:sz w:val="20"/>
          <w:szCs w:val="20"/>
          <w:color w:val="auto"/>
        </w:rPr>
      </w:pPr>
    </w:p>
    <w:p>
      <w:pPr>
        <w:ind w:left="1220" w:hanging="1194"/>
        <w:spacing w:after="0"/>
        <w:tabs>
          <w:tab w:leader="none" w:pos="12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in this exhibit has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4" w:right="81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0"/>
          <w:szCs w:val="20"/>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May 23, 2025.</w:t>
      </w:r>
    </w:p>
    <w:p>
      <w:pPr>
        <w:spacing w:after="0" w:line="20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0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22860</wp:posOffset>
            </wp:positionV>
            <wp:extent cx="27857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on May 23,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398"/>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W. Hart</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 Officer)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Hart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Y. Park</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Y. Park</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Keathley</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Keathley</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Monte Brem</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Monte Brem</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Valerie Gay Brown</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Valerie Gay Brown</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Jose A. Fernandez</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 A. Fernandez</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F. Hoffmeister</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F. Hoffmeister</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Keck</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Keck</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I. McCabe</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I. McCabe</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Steven R. Mitchell</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R. Mitchell</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Anne L. Raymond</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L. Raymond</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198</w:t>
      </w:r>
    </w:p>
    <w:p>
      <w:pPr>
        <w:sectPr>
          <w:pgSz w:w="11900" w:h="16838" w:orient="portrait"/>
          <w:cols w:equalWidth="0" w:num="1">
            <w:col w:w="11080"/>
          </w:cols>
          <w:pgMar w:left="320" w:top="114" w:right="499" w:bottom="1440" w:gutter="0" w:footer="0" w:header="0"/>
        </w:sectPr>
      </w:pPr>
    </w:p>
    <w:bookmarkStart w:id="198" w:name="page199"/>
    <w:bookmarkEnd w:id="198"/>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42" w:lineRule="exact"/>
        <w:rPr>
          <w:sz w:val="20"/>
          <w:szCs w:val="20"/>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650 million shares of Class A common stock, par value $0.001 per share, 125 million shares of Class B common stock, par value $0.001 per share, and 25 million shares of preferred stock, par value $0.001 per share.</w:t>
      </w:r>
    </w:p>
    <w:p>
      <w:pPr>
        <w:spacing w:after="0" w:line="54"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Our Class A common stock is registered under Section 12(b) of the Securities Exchange Act of 1934, as amended (the “Exchange Act”), and listed on the Nasdaq Global Select Market under the symbol “STEP.” Our Class B common stock is not registered under the Exchange Act.</w:t>
      </w:r>
    </w:p>
    <w:p>
      <w:pPr>
        <w:spacing w:after="0" w:line="54" w:lineRule="exact"/>
        <w:rPr>
          <w:sz w:val="20"/>
          <w:szCs w:val="20"/>
          <w:color w:val="auto"/>
        </w:rPr>
      </w:pPr>
    </w:p>
    <w:p>
      <w:pPr>
        <w:ind w:right="980" w:firstLine="441"/>
        <w:spacing w:after="0" w:line="282" w:lineRule="auto"/>
        <w:rPr>
          <w:sz w:val="20"/>
          <w:szCs w:val="20"/>
          <w:color w:val="auto"/>
        </w:rPr>
      </w:pPr>
      <w:r>
        <w:rPr>
          <w:rFonts w:ascii="Times New Roman" w:cs="Times New Roman" w:eastAsia="Times New Roman" w:hAnsi="Times New Roman"/>
          <w:sz w:val="18"/>
          <w:szCs w:val="18"/>
          <w:color w:val="auto"/>
        </w:rPr>
        <w:t>Unless our board of directors determines otherwise, we will issue all shares of our Class A common stock and Class B common stock in uncertificated form.</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summary is qualified in its entirety by reference to our amended and restated certificate of incorporation and bylaws and by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references herein to “we,” “us,” “our” and similar terms refer to StepStone Group Inc.</w:t>
      </w:r>
    </w:p>
    <w:p>
      <w:pPr>
        <w:spacing w:after="0" w:line="1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right="40" w:firstLine="441"/>
        <w:spacing w:after="0" w:line="290" w:lineRule="auto"/>
        <w:rPr>
          <w:sz w:val="20"/>
          <w:szCs w:val="20"/>
          <w:color w:val="auto"/>
        </w:rPr>
      </w:pPr>
      <w:r>
        <w:rPr>
          <w:rFonts w:ascii="Times New Roman" w:cs="Times New Roman" w:eastAsia="Times New Roman" w:hAnsi="Times New Roman"/>
          <w:sz w:val="17"/>
          <w:szCs w:val="17"/>
          <w:i w:val="1"/>
          <w:iCs w:val="1"/>
          <w:color w:val="auto"/>
        </w:rPr>
        <w:t>Voting</w:t>
      </w:r>
      <w:r>
        <w:rPr>
          <w:rFonts w:ascii="Times New Roman" w:cs="Times New Roman" w:eastAsia="Times New Roman" w:hAnsi="Times New Roman"/>
          <w:sz w:val="17"/>
          <w:szCs w:val="17"/>
          <w:color w:val="auto"/>
        </w:rPr>
        <w:t>. Holders of our Class A common stock are entitled to one vote for each share held of record on all matters submitted to a vote of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do not have the ability to cumulate votes for the election of directors. Holders of our Class A common stock and Class B common stock will vote together as a single class on all matters presented to our stockholders for their vote or approval, except as otherwise required by applicable law.</w:t>
      </w:r>
    </w:p>
    <w:p>
      <w:pPr>
        <w:spacing w:after="0" w:line="47" w:lineRule="exact"/>
        <w:rPr>
          <w:sz w:val="20"/>
          <w:szCs w:val="20"/>
          <w:color w:val="auto"/>
        </w:rPr>
      </w:pPr>
    </w:p>
    <w:p>
      <w:pPr>
        <w:ind w:right="4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our Class A common stock are entitled to receive dividends when and if declared by our board of directors out of funds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therefor, subject to any statutory or contractual restrictions on the payment of dividends and to any restrictions on the payment of dividends imposed by the terms of any outstanding preferred stock.</w:t>
      </w:r>
    </w:p>
    <w:p>
      <w:pPr>
        <w:spacing w:after="0" w:line="65" w:lineRule="exact"/>
        <w:rPr>
          <w:sz w:val="20"/>
          <w:szCs w:val="20"/>
          <w:color w:val="auto"/>
        </w:rPr>
      </w:pPr>
    </w:p>
    <w:p>
      <w:pPr>
        <w:ind w:right="34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Dissolution and Liquidation</w:t>
      </w:r>
      <w:r>
        <w:rPr>
          <w:rFonts w:ascii="Times New Roman" w:cs="Times New Roman" w:eastAsia="Times New Roman" w:hAnsi="Times New Roman"/>
          <w:sz w:val="18"/>
          <w:szCs w:val="18"/>
          <w:color w:val="auto"/>
        </w:rPr>
        <w:t>. Upon our dissolution or liquidation or the sale of all or substantially all of our assets, after payment in full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required to be paid to creditors and to the holders of preferred stock having liquidation preferences, if any, the holders of our Class A common stock will be entitled to receive pro rata our remaining assets available for distribution, subject to the limited rights of the Class B common stock as described below.</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Class A common stock do not have preemptive, subscription, redemption or conversion rights.</w:t>
      </w:r>
    </w:p>
    <w:p>
      <w:pPr>
        <w:spacing w:after="0" w:line="117"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Issuance of Additional Class A Common Stock</w:t>
      </w:r>
      <w:r>
        <w:rPr>
          <w:rFonts w:ascii="Times New Roman" w:cs="Times New Roman" w:eastAsia="Times New Roman" w:hAnsi="Times New Roman"/>
          <w:sz w:val="18"/>
          <w:szCs w:val="18"/>
          <w:color w:val="auto"/>
        </w:rPr>
        <w:t>. We may issue additional shares of Class A common stock from time to time, subject to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our amended and restated certificate of incorporation, amended and restated bylaws and Delaware law. We are obligated to issue Class A common stock (subject to the transfer and exchange restrictions set forth in the Tenth Amended and Restated Limited Partnership Agreement of StepStone Group LP (the “StepStone Limited Partnership Agreement”), the Exchange Agreement, dated as of September 18, 2020, by and among us, StepStone Group LP (the “Partnership”) and the Partnership Unitholders (as defined therein), the Class C Exchange Agreement, dated as of September 20,2021 by and among us, the Partnership and the Partnership Unitholders (as defined therein), and the Class D Exchange Agreement, dated as of May 31, 2024 by and among us, the Partnership and the Partnership Unitholders (as defined therein)) to Class B, Class C, and Class D unitholders who exchange their Class B, Class C, or Class D units of the Partnership, respectively, for shares of our Class A common stock on a one-for-one basis (unless we elect to satisfy such exchange for cash). When a Class B unit of the Partnership is exchanged for a share of our Class A common stock, a corresponding share of our Class B common stock will automatically be redeemed by us at par value and canceled. There are no corresponding shares of common stock of the Class C or Class D units.</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1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our Class B common stock are entitled to five votes for each share held of record on all matters submitted to a vote of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a Sunset. 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of the Partnership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In the case of a Sunset triggered by an event described in clause (i) or (ii) above, a Sunset triggered during the first two fiscal quarters of any fiscal year will become effective at the end of that fiscal year, and a Sunset triggered during the third or fourth fiscal quarters of any fiscal year will become effective at the end of the following fiscal year.</w:t>
      </w:r>
    </w:p>
    <w:p>
      <w:pPr>
        <w:spacing w:after="0" w:line="79" w:lineRule="exact"/>
        <w:rPr>
          <w:sz w:val="20"/>
          <w:szCs w:val="20"/>
          <w:color w:val="auto"/>
        </w:rPr>
      </w:pPr>
    </w:p>
    <w:p>
      <w:pPr>
        <w:ind w:right="220" w:firstLine="441"/>
        <w:spacing w:after="0" w:line="261" w:lineRule="auto"/>
        <w:rPr>
          <w:sz w:val="20"/>
          <w:szCs w:val="20"/>
          <w:color w:val="auto"/>
        </w:rPr>
      </w:pPr>
      <w:r>
        <w:rPr>
          <w:rFonts w:ascii="Times New Roman" w:cs="Times New Roman" w:eastAsia="Times New Roman" w:hAnsi="Times New Roman"/>
          <w:sz w:val="18"/>
          <w:szCs w:val="18"/>
          <w:color w:val="auto"/>
        </w:rPr>
        <w:t>After a Sunset becomes effective, holders of our Class B common stock will be entitled to one vote for each share held of record on all matters submitted to stockholders for a vote. Stockholders do not have the ability to cumulate votes for the election of directors. Holders of our Class A common stock and Class B common stock will vote together as a single class on all matters presented to our stockholders for their vote or approval, except as otherwise required by applicable law.</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Class B common stock are not entitled to dividends in respect of their shares of Class B common stock.</w:t>
      </w:r>
    </w:p>
    <w:p>
      <w:pPr>
        <w:spacing w:after="0" w:line="117"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Dissolution and Liquidation</w:t>
      </w:r>
      <w:r>
        <w:rPr>
          <w:rFonts w:ascii="Times New Roman" w:cs="Times New Roman" w:eastAsia="Times New Roman" w:hAnsi="Times New Roman"/>
          <w:sz w:val="18"/>
          <w:szCs w:val="18"/>
          <w:color w:val="auto"/>
        </w:rPr>
        <w:t>. Upon our dissolution or liquidation or the sale of all or substantially all of our assets, after payment in full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required to be paid to creditors and to the holders of preferred stock having liquidation preferences, if any, the holders of our Class B common stock will be entitled to receive out of our remaining assets available for distribution only the par value of the Class B common stock held by them, pro rata with distributions to the Class A common stock. In connection with an exchange of a Class B unit of the Partnership for Class A common stock, the corresponding share of Class B common stock will be redeemed by us at par value and canceled.</w:t>
      </w:r>
    </w:p>
    <w:p>
      <w:pPr>
        <w:spacing w:after="0" w:line="75" w:lineRule="exact"/>
        <w:rPr>
          <w:sz w:val="20"/>
          <w:szCs w:val="20"/>
          <w:color w:val="auto"/>
        </w:rPr>
      </w:pPr>
    </w:p>
    <w:p>
      <w:pPr>
        <w:ind w:right="12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Class B common stock do not have preemptive, subscription or conversion rights. The Class B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subject to redemption upon an exchange of a Class B unit of the Partnership for a share of Class A common stock.</w:t>
      </w:r>
    </w:p>
    <w:p>
      <w:pPr>
        <w:spacing w:after="0" w:line="50" w:lineRule="exact"/>
        <w:rPr>
          <w:sz w:val="20"/>
          <w:szCs w:val="20"/>
          <w:color w:val="auto"/>
        </w:rPr>
      </w:pPr>
    </w:p>
    <w:p>
      <w:pPr>
        <w:ind w:right="30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Issuance of Additional Class B Common Stock</w:t>
      </w:r>
      <w:r>
        <w:rPr>
          <w:rFonts w:ascii="Times New Roman" w:cs="Times New Roman" w:eastAsia="Times New Roman" w:hAnsi="Times New Roman"/>
          <w:sz w:val="18"/>
          <w:szCs w:val="18"/>
          <w:color w:val="auto"/>
        </w:rPr>
        <w:t>. No additional issuance of shares of Class B common stock will occur, except in connection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stock dividend, reclassification or similar transaction.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preferred stock in one or more classes or series and to fix the rights, preferences, privileges and related restrictions, including dividend rights, dividend rates, conversion rights, voting rights, the right to elect directors, terms of redemption, redemption prices, liquidation preferences and the number of shares constituting any class or series, or the designation of the class or series, without the approval of our stockholders.</w:t>
      </w:r>
    </w:p>
    <w:p>
      <w:pPr>
        <w:spacing w:after="0" w:line="72"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The authority of our board of directors to issue preferred stock without approval of our stockholders may have the effect of delaying, deferring or preventing a change in control of our company and may adversely affect the voting and other rights of the holders of our common stock. The issuance of preferred stock with voting and conversion rights may adversely affect the voting power of the holders of our common stock, including the loss of voting control to others.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jc w:val="both"/>
        <w:ind w:right="160" w:firstLine="441"/>
        <w:spacing w:after="0" w:line="266"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Global Select Market, which would apply so long as the Class A common stock remains listed on the Nasdaq Global Select Market, require stockholder approval of certain issuances equal to or</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54"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our Amended and Restated Certificate of Incorporation and Bylaws</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5"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Super Voting Stock. </w:t>
      </w:r>
      <w:r>
        <w:rPr>
          <w:rFonts w:ascii="Times New Roman" w:cs="Times New Roman" w:eastAsia="Times New Roman" w:hAnsi="Times New Roman"/>
          <w:sz w:val="18"/>
          <w:szCs w:val="18"/>
          <w:color w:val="auto"/>
        </w:rPr>
        <w:t>The Class A common stock and Class B common stock vote together on all matters on which stockholders are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set forth in our amended and restated certificate of incorporation or required by applicable law. However, until a Sunset becomes effective, the Class B common stock will have five votes per share and the Class A common stock will have one vote per share. Consequently, the holders of our Class B common stock will have greater influence over decisions to be made by our stockholders, including the election of directors.</w:t>
      </w:r>
    </w:p>
    <w:p>
      <w:pPr>
        <w:spacing w:after="0" w:line="72"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amended and restated certificate of incorporation and bylaws classify our board of directors into three classes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staggered three-year terms of office. Our board of directors has the exclusive power to fix the number of directors in each class. Upon the expiration of the initial term of office for each class of directors, each director in such class shall be elected for a term of three years and serve until a successor is duly elected and qualified or until his or her earlier death, resignation or removal; however, each director whose term expired at the 2023 annual meeting of stockholders and each annual meeting thereafter were elected for a term expiring at the next annual meeting of stockholders. As a result of these provisions, beginning with our 2025 annual meeting of stockholders, all of our directors will be subject to annual election.</w:t>
      </w:r>
    </w:p>
    <w:p>
      <w:pPr>
        <w:spacing w:after="0" w:line="76"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the board of directors or by a sole remaining director. As long as our board is classified, the existence of a classified board could delay a successful tender offeror from obtaining majority control of our board of directors, and the prospect of that delay might deter a potential offeror.</w:t>
      </w:r>
    </w:p>
    <w:p>
      <w:pPr>
        <w:spacing w:after="0" w:line="70"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Action by Written Consent; Special Meetings of Stockholders. </w:t>
      </w:r>
      <w:r>
        <w:rPr>
          <w:rFonts w:ascii="Times New Roman" w:cs="Times New Roman" w:eastAsia="Times New Roman" w:hAnsi="Times New Roman"/>
          <w:sz w:val="18"/>
          <w:szCs w:val="18"/>
          <w:color w:val="auto"/>
        </w:rPr>
        <w:t>Our amended and restated certificate of incorporation provides that any action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permitted to be taken by the stockholders must be effected at a duly called annual or special meeting of stockholders and may not be effected by any consent in writing in lieu of a meeting of such stockholders. In addition, our amended and restated certificate of incorporation and bylaws provide that special meetings of stockholders may be called only by the board of directors or the chairperson of the board of directors.</w:t>
      </w:r>
    </w:p>
    <w:p>
      <w:pPr>
        <w:spacing w:after="0" w:line="72" w:lineRule="exact"/>
        <w:rPr>
          <w:sz w:val="20"/>
          <w:szCs w:val="20"/>
          <w:color w:val="auto"/>
        </w:rPr>
      </w:pPr>
    </w:p>
    <w:p>
      <w:pPr>
        <w:ind w:right="38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Election and Removal of Directors. </w:t>
      </w:r>
      <w:r>
        <w:rPr>
          <w:rFonts w:ascii="Times New Roman" w:cs="Times New Roman" w:eastAsia="Times New Roman" w:hAnsi="Times New Roman"/>
          <w:sz w:val="18"/>
          <w:szCs w:val="18"/>
          <w:color w:val="auto"/>
        </w:rPr>
        <w:t>The Delaware General Corporation Law (“DGCL”) provides that stockholders are not entitled to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cumulate votes in the election of directors unless our amended and</w:t>
      </w:r>
    </w:p>
    <w:p>
      <w:pPr>
        <w:sectPr>
          <w:pgSz w:w="11900" w:h="16838" w:orient="portrait"/>
          <w:cols w:equalWidth="0" w:num="1">
            <w:col w:w="11220"/>
          </w:cols>
          <w:pgMar w:left="320" w:top="1440" w:right="359" w:bottom="1440" w:gutter="0" w:footer="0" w:header="0"/>
        </w:sectPr>
      </w:pPr>
    </w:p>
    <w:bookmarkStart w:id="201" w:name="page202"/>
    <w:bookmarkEnd w:id="201"/>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restated certificate of incorporation provides otherwise. Our amended and restated certificate of incorporation does not expressly provide for cumulative voting. While the board is classified, directors may be removed, but only for cause. Following such time as our board of directors is no longer classified, our directors may be removed with or without cause, but only upon the affirmative vote of holders of at least 66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voting power of the outstanding shares of our capital stock entitled to vote generally in the election of directors, voting together as a single class. In addition, the certificate of designation pursuant to which a particular series of preferred stock is issued may provide holders of that series of preferred stock with the right to elect additional directors.</w:t>
      </w:r>
    </w:p>
    <w:p>
      <w:pPr>
        <w:spacing w:after="0" w:line="77" w:lineRule="exact"/>
        <w:rPr>
          <w:sz w:val="20"/>
          <w:szCs w:val="20"/>
          <w:color w:val="auto"/>
        </w:rPr>
      </w:pPr>
    </w:p>
    <w:p>
      <w:pPr>
        <w:ind w:right="4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As described above under the heading “Authorized but Unissued Capital Stock”, the existence of authorized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unissued and unreserved common stock and preferred stock could make more difficult or discourage an attempt to obtain control of us by means of a proxy contest, tender offer, merger or otherwise.</w:t>
      </w:r>
    </w:p>
    <w:p>
      <w:pPr>
        <w:spacing w:after="0" w:line="65"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with Interested Stockholders. </w:t>
      </w:r>
      <w:r>
        <w:rPr>
          <w:rFonts w:ascii="Times New Roman" w:cs="Times New Roman" w:eastAsia="Times New Roman" w:hAnsi="Times New Roman"/>
          <w:sz w:val="18"/>
          <w:szCs w:val="18"/>
          <w:color w:val="auto"/>
        </w:rPr>
        <w:t>In general, Section 203 of the DGCL, an anti-takeover law, prohibits a publicly held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7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We have elected in our amended and restated certificate of incorporation not to be subject to Section 203. However, our amended and restated certificate of incorporation contains provisions that have the same effect as Section 203, except that they provide that the Sunset Holders,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w:t>
      </w:r>
    </w:p>
    <w:p>
      <w:pPr>
        <w:spacing w:after="0" w:line="70"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Advance Notice Provisions. </w:t>
      </w:r>
      <w:r>
        <w:rPr>
          <w:rFonts w:ascii="Times New Roman" w:cs="Times New Roman" w:eastAsia="Times New Roman" w:hAnsi="Times New Roman"/>
          <w:sz w:val="18"/>
          <w:szCs w:val="18"/>
          <w:color w:val="auto"/>
        </w:rPr>
        <w:t>Our amended and restated bylaws require stockholders seeking to nominate persons for election as directors at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special meeting of stockholders, or to bring other business before an annual or special meeting (other than a proposal submitted under Rule 14a-8 under the Exchange Act), to provide timely notice in writing. A stockholder’s notice to our corporate secretary must be in proper written form and must set forth certain information, as required under our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75"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Our amended and restated certificate of incorporation provides that, unless we select or consent in writing to the selection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another forum, the Court of Chancery of the State of Delaware (or, if the Court of Chancery does not have jurisdiction, another state court or a federal court located within the State of Delaware) shall be the exclusive forum for any complaints asserting any “internal corporate claims,” which include claims in the right of our company (i) that are based upon a violation of a duty by a current or former director, officer, employee or stockholder in such capacity or (ii) as to which the DGCL confers jurisdiction upon the Court of Chancery. Furthermore, unless we select or consent to the selection of an alternative forum, the federal district courts of the United States of America shall be the exclusive forum for the resolution of any complaint asserting a cause of action arising under the Securities Act. Our exclusive forum provision does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certain provisions of the StepStone Limited Partnership Agreement could have the effect of deterring or facilitating a control transaction.</w:t>
      </w:r>
    </w:p>
    <w:p>
      <w:pPr>
        <w:sectPr>
          <w:pgSz w:w="11900" w:h="16838" w:orient="portrait"/>
          <w:cols w:equalWidth="0" w:num="1">
            <w:col w:w="11240"/>
          </w:cols>
          <w:pgMar w:left="320" w:top="1440"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LONG-TERM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NOTICE OF GRANT OF AWARD OF RESTRICTED STOCK UNITS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Grant</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StepStone Group Inc. (the “Company”) hereby grants to the Participant named below (the “Participant” or “you”) the number of restricted stock units (“Restricted Stock Units”) specified below (the “Award”). Each Restricted Stock Unit represents the right to receive one share of the Company’s Class A common stock, par value $0.001 (the “Common Stock”), upon the terms and subject to the conditions set forth in this Grant Notice, the StepStone Group Inc. 2020 Long-Term Incentive Plan (the “Plan”), any Appendix to the Plan applicable to you (the “Appendix”), any properly completed deferral election submitted by you to the Company applicable to the Award, and the Global Restricted Stock Unit Award Agreement, including the additional general terms and conditions for Participants in countries outside the United States and any special terms and conditions for Participant’s country, all set forth in the addendum attached hereto (the “Addendum” and, together with the Global Restricted Stock Unit Award Agreement, the “Award Agreement”) promulgated under such Plan, each as amended from time to time. Any applicable Appendix shall be treated as part of the Plan for purposes of this Award, and any references to the Plan in this Grant Notice or the Award Agreement shall include the Appendix. Capitalized terms used but not defined herein shall have the meanings given to them in the Plan or the Award Agreement, as the case may be.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is granted pursuant to the Plan and is subject to and qualified in its entirety by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40575" cy="651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7140575" cy="651510"/>
                    </a:xfrm>
                    <a:prstGeom prst="rect">
                      <a:avLst/>
                    </a:prstGeom>
                    <a:noFill/>
                  </pic:spPr>
                </pic:pic>
              </a:graphicData>
            </a:graphic>
          </wp:anchor>
        </w:drawing>
      </w:r>
    </w:p>
    <w:p>
      <w:pPr>
        <w:spacing w:after="0" w:line="2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Vesting Commencement Date:</w:t>
      </w:r>
    </w:p>
    <w:p>
      <w:pPr>
        <w:sectPr>
          <w:pgSz w:w="11900" w:h="16838" w:orient="portrait"/>
          <w:cols w:equalWidth="0" w:num="1">
            <w:col w:w="11240"/>
          </w:cols>
          <w:pgMar w:left="320" w:top="122" w:right="339" w:bottom="1440" w:gutter="0" w:footer="0" w:header="0"/>
        </w:sectPr>
      </w:pPr>
    </w:p>
    <w:bookmarkStart w:id="203" w:name="page204"/>
    <w:bookmarkEnd w:id="203"/>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7140575" cy="60261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140575" cy="60261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Number of Restricted Stock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68"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b w:val="1"/>
          <w:bCs w:val="1"/>
          <w:color w:val="auto"/>
        </w:rPr>
        <w:t>Vesting Schedule:</w:t>
      </w:r>
      <w:r>
        <w:rPr>
          <w:sz w:val="20"/>
          <w:szCs w:val="20"/>
          <w:color w:val="auto"/>
        </w:rPr>
        <w:tab/>
      </w:r>
      <w:r>
        <w:rPr>
          <w:rFonts w:ascii="Times New Roman" w:cs="Times New Roman" w:eastAsia="Times New Roman" w:hAnsi="Times New Roman"/>
          <w:sz w:val="21"/>
          <w:szCs w:val="21"/>
          <w:color w:val="auto"/>
        </w:rPr>
        <w:t>The Restricted Stock Units will vest as follows:</w:t>
      </w:r>
    </w:p>
    <w:p>
      <w:pPr>
        <w:spacing w:after="0" w:line="224" w:lineRule="exact"/>
        <w:rPr>
          <w:sz w:val="20"/>
          <w:szCs w:val="20"/>
          <w:color w:val="auto"/>
        </w:rPr>
      </w:pPr>
    </w:p>
    <w:tbl>
      <w:tblPr>
        <w:tblLayout w:type="fixed"/>
        <w:tblInd w:w="3180" w:type="dxa"/>
        <w:tblCellMar>
          <w:top w:w="0" w:type="dxa"/>
          <w:left w:w="0" w:type="dxa"/>
          <w:bottom w:w="0" w:type="dxa"/>
          <w:right w:w="0" w:type="dxa"/>
        </w:tblCellMar>
      </w:tblPr>
      <w:tr>
        <w:trPr>
          <w:trHeight w:val="257"/>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72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 of the Restricted Stock Units (which is 25% of the total Restricted Stock</w:t>
            </w:r>
          </w:p>
        </w:tc>
      </w:tr>
      <w:tr>
        <w:trPr>
          <w:trHeight w:val="270"/>
        </w:trPr>
        <w:tc>
          <w:tcPr>
            <w:tcW w:w="100" w:type="dxa"/>
            <w:vAlign w:val="bottom"/>
          </w:tcPr>
          <w:p>
            <w:pPr>
              <w:spacing w:after="0"/>
              <w:rPr>
                <w:sz w:val="23"/>
                <w:szCs w:val="23"/>
                <w:color w:val="auto"/>
              </w:rPr>
            </w:pPr>
          </w:p>
        </w:tc>
        <w:tc>
          <w:tcPr>
            <w:tcW w:w="78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Units) will vest on [DATE];</w:t>
            </w:r>
          </w:p>
        </w:tc>
      </w:tr>
      <w:tr>
        <w:trPr>
          <w:trHeight w:val="25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7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 of the Restricted Stock Units will vest on [DATE];</w:t>
            </w:r>
          </w:p>
        </w:tc>
      </w:tr>
      <w:tr>
        <w:trPr>
          <w:trHeight w:val="257"/>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72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 of the Restricted Stock Units will vest on [DATE]; and</w:t>
            </w:r>
          </w:p>
        </w:tc>
      </w:tr>
      <w:tr>
        <w:trPr>
          <w:trHeight w:val="282"/>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7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 of the Restricted Stock Units will vest on [DATE];</w:t>
            </w:r>
          </w:p>
        </w:tc>
      </w:tr>
    </w:tbl>
    <w:p>
      <w:pPr>
        <w:spacing w:after="0" w:line="190" w:lineRule="exact"/>
        <w:rPr>
          <w:sz w:val="20"/>
          <w:szCs w:val="20"/>
          <w:color w:val="auto"/>
        </w:rPr>
      </w:pPr>
    </w:p>
    <w:p>
      <w:pPr>
        <w:jc w:val="both"/>
        <w:ind w:left="3040" w:right="20"/>
        <w:spacing w:after="0" w:line="253" w:lineRule="auto"/>
        <w:rPr>
          <w:sz w:val="20"/>
          <w:szCs w:val="20"/>
          <w:color w:val="auto"/>
        </w:rPr>
      </w:pPr>
      <w:r>
        <w:rPr>
          <w:rFonts w:ascii="Times New Roman" w:cs="Times New Roman" w:eastAsia="Times New Roman" w:hAnsi="Times New Roman"/>
          <w:sz w:val="22"/>
          <w:szCs w:val="22"/>
          <w:color w:val="auto"/>
        </w:rPr>
        <w:t>subject in each case to Participant’s Continuous Service through each such date. If Participant ceases Continuous Service for any or no reason before Participant vests in any portion of the Restricted Stock Units, the unvested Restricted Stock Units will immediately terminate; provided, however, that if Participant’s termination of Continuous Service is due to:</w:t>
      </w:r>
    </w:p>
    <w:p>
      <w:pPr>
        <w:spacing w:after="0" w:line="179" w:lineRule="exact"/>
        <w:rPr>
          <w:sz w:val="20"/>
          <w:szCs w:val="20"/>
          <w:color w:val="auto"/>
        </w:rPr>
      </w:pPr>
    </w:p>
    <w:p>
      <w:pPr>
        <w:ind w:left="3580" w:right="20" w:hanging="403"/>
        <w:spacing w:after="0" w:line="271" w:lineRule="auto"/>
        <w:tabs>
          <w:tab w:leader="none" w:pos="37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death or Disability, all of the Restricted Stock Units shall vest in full upon such termination; or</w:t>
      </w:r>
    </w:p>
    <w:p>
      <w:pPr>
        <w:spacing w:after="0" w:line="157" w:lineRule="exact"/>
        <w:rPr>
          <w:rFonts w:ascii="Times New Roman" w:cs="Times New Roman" w:eastAsia="Times New Roman" w:hAnsi="Times New Roman"/>
          <w:sz w:val="22"/>
          <w:szCs w:val="22"/>
          <w:color w:val="auto"/>
        </w:rPr>
      </w:pPr>
    </w:p>
    <w:p>
      <w:pPr>
        <w:jc w:val="both"/>
        <w:ind w:left="3580" w:hanging="403"/>
        <w:spacing w:after="0" w:line="261" w:lineRule="auto"/>
        <w:tabs>
          <w:tab w:leader="none" w:pos="367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Participant’s termination of employment on or after attaining age 50 and having been employed for at least 15 years as a result of resignation or involuntary termination other than for Cause at a time when the sum of Participant’s age and the number or Participant’s years of employment is at least 65 (Participant’s “Retirement”), the Restricted Stock Units shall vest in full upon such termination. The Board or Committee responsible for administering the Plan shall have discretion to determine that a termination of employment that does not meet the foregoing conditions shall nevertheless qualify as a Retirement entitling Participant to acceleration of vesting. Notwithstanding the foregoing, if applicable legislation or case law is enacted or decided which would, in the Company’s sole and absolute discretion, put it at risk of claims, then such vesting treatment upon Participant’s Retirement shall not apply.</w:t>
      </w:r>
    </w:p>
    <w:p>
      <w:pPr>
        <w:spacing w:after="0" w:line="189" w:lineRule="exact"/>
        <w:rPr>
          <w:sz w:val="20"/>
          <w:szCs w:val="20"/>
          <w:color w:val="auto"/>
        </w:rPr>
      </w:pPr>
    </w:p>
    <w:p>
      <w:pPr>
        <w:jc w:val="both"/>
        <w:ind w:left="3040"/>
        <w:spacing w:after="0" w:line="265" w:lineRule="auto"/>
        <w:rPr>
          <w:sz w:val="20"/>
          <w:szCs w:val="20"/>
          <w:color w:val="auto"/>
        </w:rPr>
      </w:pPr>
      <w:r>
        <w:rPr>
          <w:rFonts w:ascii="Times New Roman" w:cs="Times New Roman" w:eastAsia="Times New Roman" w:hAnsi="Times New Roman"/>
          <w:sz w:val="21"/>
          <w:szCs w:val="21"/>
          <w:color w:val="auto"/>
        </w:rPr>
        <w:t>However, notwithstanding anything herein to the contrary, the vesting of the Restricted Stock Units shall be subject to any additional vesting acceleration provisions applicable to the Restricted Stock Units contained in the Plan and/or any employment or service agreement, offer letter, severance agreement, or any other agreement between Participant and the Company or any Affiliate or Subsidiary (such agreement, a “Separate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00"/>
          </w:cols>
          <w:pgMar w:left="400" w:top="1440" w:right="399" w:bottom="1440" w:gutter="0" w:footer="0" w:header="0"/>
        </w:sectPr>
      </w:pPr>
    </w:p>
    <w:bookmarkStart w:id="204" w:name="page205"/>
    <w:bookmarkEnd w:id="20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Agreements</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By your signature and the Company’s signature below, or by electronic acceptance or authentication in a form authorized by the Company, you and the Company agree that this Award is granted under and governed by the terms of the Plan and the Award Agreement which are attached hereto and incorporated herein by this reference.</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 also acknowledge that by providing your signature below or accepting the award via the Company’s electronic acceptance procedure, you expressly agree with the data processing practices described in Section 9 of the Global Restricted Stock Unit Award Agreement and consent to the collection, processing and use of Data by the Company and the transfer of Data to the recipients mentioned in Section 9 of the Global Restricted Stock Unit Award Agreement, including recipients located in countries which do not provide an adequate level of protection from a European (or other non-U.S.) data protection law perspective, for the purposes described in Section 9 of the Global Restricted Stock Unit Award Agreement. You understand that consenting to such collection, processing and use of your Data is a condition of receiving the Award and that you may forfeit the Award if you do not grant (or if you withdraw) such consent. You understand that you may withdraw consent at any time with future effect for any or no reason as described in Section 9 of the Global Restricted Stock Unit Award Agreement.</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further acknowledge that your rights to any Restricted Stock Units will be earned only as you provide Continuous Service to the Company over time, that the grant of this Award is not consideration for service you rendered to the Company prior to the Grant Date, and that nothing herein or the attached documents confers upon you any right to continue your employment or other service relationship with the Company or any Affiliate or Subsidiary for any period of time, nor does it interfere in any way with your right or the Company’s (or any Affiliate’s or Subsidiary’s) right to terminate that relationship at any time, for any reason or no reason, with or without Cause, and with or without advance notice, except as may be required by the terms of a Separate Agreement or in compliance with governing public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“COMPANY”</w:t>
            </w:r>
          </w:p>
        </w:tc>
        <w:tc>
          <w:tcPr>
            <w:tcW w:w="5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“PARTICIPANT”</w:t>
            </w:r>
          </w:p>
        </w:tc>
      </w:tr>
      <w:tr>
        <w:trPr>
          <w:trHeight w:val="608"/>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StepStone Group Inc.</w:t>
            </w:r>
          </w:p>
        </w:tc>
        <w:tc>
          <w:tcPr>
            <w:tcW w:w="5500" w:type="dxa"/>
            <w:vAlign w:val="bottom"/>
          </w:tcPr>
          <w:p>
            <w:pPr>
              <w:spacing w:after="0"/>
              <w:rPr>
                <w:sz w:val="24"/>
                <w:szCs w:val="24"/>
                <w:color w:val="auto"/>
              </w:rPr>
            </w:pPr>
          </w:p>
        </w:tc>
      </w:tr>
      <w:tr>
        <w:trPr>
          <w:trHeight w:val="636"/>
        </w:trPr>
        <w:tc>
          <w:tcPr>
            <w:tcW w:w="51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8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w:t>
            </w:r>
          </w:p>
        </w:tc>
      </w:tr>
      <w:tr>
        <w:trPr>
          <w:trHeight w:val="32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5500" w:type="dxa"/>
            <w:vAlign w:val="bottom"/>
          </w:tcPr>
          <w:p>
            <w:pPr>
              <w:spacing w:after="0"/>
              <w:rPr>
                <w:sz w:val="24"/>
                <w:szCs w:val="24"/>
                <w:color w:val="auto"/>
              </w:rPr>
            </w:pPr>
          </w:p>
        </w:tc>
      </w:tr>
      <w:tr>
        <w:trPr>
          <w:trHeight w:val="569"/>
        </w:trPr>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89"/>
        </w:trPr>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Signature</w:t>
            </w:r>
          </w:p>
        </w:tc>
      </w:tr>
      <w:tr>
        <w:trPr>
          <w:trHeight w:val="623"/>
        </w:trPr>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89"/>
        </w:trPr>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Address</w:t>
            </w:r>
          </w:p>
        </w:tc>
      </w:tr>
      <w:tr>
        <w:trPr>
          <w:trHeight w:val="623"/>
        </w:trPr>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89"/>
        </w:trPr>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Address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22"/>
          <w:szCs w:val="22"/>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LONG-TERM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 RESTRICTED STOCK UNIT AWARD AGREEMENT</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Award Agreement is made and entered into by and between StepStone Group Inc., a Delaware corporation (“Company”), and the Participant identified in the Notice of Grant of Award of Restricted Stock Units (“Grant Notice”) which is attached hereto (“Participant”).</w:t>
      </w:r>
    </w:p>
    <w:p>
      <w:pPr>
        <w:spacing w:after="0" w:line="169" w:lineRule="exact"/>
        <w:rPr>
          <w:sz w:val="20"/>
          <w:szCs w:val="20"/>
          <w:color w:val="auto"/>
        </w:rPr>
      </w:pPr>
    </w:p>
    <w:p>
      <w:pPr>
        <w:jc w:val="both"/>
        <w:ind w:firstLine="656"/>
        <w:spacing w:after="0" w:line="258" w:lineRule="auto"/>
        <w:tabs>
          <w:tab w:leader="none" w:pos="1296"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Stock Units</w:t>
      </w:r>
      <w:r>
        <w:rPr>
          <w:rFonts w:ascii="Times New Roman" w:cs="Times New Roman" w:eastAsia="Times New Roman" w:hAnsi="Times New Roman"/>
          <w:sz w:val="22"/>
          <w:szCs w:val="22"/>
          <w:color w:val="auto"/>
        </w:rPr>
        <w:t>. The Company hereby grants to the Participant named in the Grant Notice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of Restricted Stock Units, subject to all of the terms and conditions in this Award Agreement and the Plan, which are incorporated herein by reference. Restricted Stock Units issued pursuant to a Grant Notice and this Award Agreement are referred to in this Agreement as “Restricted Stock Units” or “RSUs.”</w:t>
      </w:r>
    </w:p>
    <w:p>
      <w:pPr>
        <w:spacing w:after="0" w:line="16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Obligation to Pay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Each Restricted Stock Unit represents the right to receive payment in the form of one share of the Company’s Common Stock (each, a “Share” and collectively, the “Shares”). Participant will have no right to payment of any Shares on any Restricted Stock Units unless and until the Restricted Stock Units have vested in the manner set forth in the Grant Notice and this Award Agreement. Prior to actual payment of a Share on any vested Restricted Stock Unit, such Restricted Stock Unit will represent an unsecured obligation of the Company, for which there is no trust and no obligation other than to issue Shares as contemplated by this Award Agreement and the Plan.</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The Company shall deliver one Share to Participant for each Vested RSU (as defined below) within 60 days after the applicable vesting date, provided that (i) Shares in settlement of RSUs which vest upon Participant’s Retirement in accordance with the Grant Notice shall, absent a Deferral Election (as defined below) in the contrary, be delivered to Participant within 60 days after (but no later than the end of the calendar year of) the original vesting date applicable to such RSU, and (ii) notwithstanding the foregoing, if Participant has delivered to the Company a timely and valid deferral election in the form and in accordance with procedures established by the Company to defer the receipt of Shares upon settlement of Vested RSUs (the “Deferral Election”), the Company shall deliver such Shares to Participant on the payment date(s) specified in the Deferral Election.</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Six-Month Delay</w:t>
      </w:r>
      <w:r>
        <w:rPr>
          <w:rFonts w:ascii="Times New Roman" w:cs="Times New Roman" w:eastAsia="Times New Roman" w:hAnsi="Times New Roman"/>
          <w:sz w:val="22"/>
          <w:szCs w:val="22"/>
          <w:color w:val="auto"/>
        </w:rPr>
        <w:t>. Notwithstanding anything to the contrary, if (i) the Restricted Stock Units constitute “deferred compensation” under Section 409A of the Code, (ii) Participant is a “specified employee” for purposes of Section 409A of the Code, and (iii) Participant is otherwise subject to Section 409A of the Code (as determined by the Company in its sole discretion), no payment of any amount that is due because of a “separation from service” (as defined in Section 409A of the Code) will be issued or paid before the date that is six months following the date of Participant’s “separation from service” or, if earlier, the date of Participant’s death, unless such distribution or payment can be made in a manner that complies with Section 409A of the Code, and any amounts so deferred will be paid in a lump sum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207" w:name="page208"/>
    <w:bookmarkEnd w:id="207"/>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day after such six-month period elapses, with the balance paid thereafter on the original payment schedule (or the payment schedule specified in the Deferral Election).</w:t>
      </w:r>
    </w:p>
    <w:p>
      <w:pPr>
        <w:spacing w:after="0" w:line="154" w:lineRule="exact"/>
        <w:rPr>
          <w:sz w:val="20"/>
          <w:szCs w:val="20"/>
          <w:color w:val="auto"/>
        </w:rPr>
      </w:pPr>
    </w:p>
    <w:p>
      <w:pPr>
        <w:jc w:val="both"/>
        <w:ind w:firstLine="656"/>
        <w:spacing w:after="0" w:line="250" w:lineRule="auto"/>
        <w:tabs>
          <w:tab w:leader="none" w:pos="1296"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Award</w:t>
      </w:r>
      <w:r>
        <w:rPr>
          <w:rFonts w:ascii="Times New Roman" w:cs="Times New Roman" w:eastAsia="Times New Roman" w:hAnsi="Times New Roman"/>
          <w:sz w:val="22"/>
          <w:szCs w:val="22"/>
          <w:color w:val="auto"/>
        </w:rPr>
        <w:t>. The Award shall not be vested as of the Grant Date set forth in the Grant Notice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forfeitable unless and until otherwise vested pursuant to the terms of the Grant Notice and this Award Agreement. After the Grant Date, subject to termination or acceleration as provided in this Award Agreement or any Separate Agreement, the Award shall become vested as described in the Grant Notice with respect to that number of Restricted Stock Units as set forth in the Grant Notice. Restricted Stock Units that have vested and are no longer subject to forfeiture are referred to herein as “Vested RSUs.” Restricted Stock Units awarded hereunder that are not vested and remain subject to forfeiture are referred to herein as “Unvested RSUs.” Notwithstanding anything contained in this Award Agreement to the contrary, upon Participant’s termination of Continuous Service, except as otherwise provided in the Grant Notice or any Separate Agreement or the Addendum, any then Unvested RSUs held by Participant shall be forfeited and canceled as of the date of such termination.</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Unless otherwise provided in a Separate Agreement, upon the occurrence of a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Sections 9(c) and 9(d) of the Plan shall control. In addition, unless otherwise provided in a Separate Agreement, if Participant’s Continuous Service is terminated without Cause or due to Good Reason (as defined below) upon or within the thirteen-month period following a Change in Control, the Award shall vest in full. For purposes hereof, Participant shall have “Good Reason” to terminate Continuous Service if, without Participant’s consent, (i) the Company (or Successor Corporation) reduces Participant’s annual base salary, unless such reduction is pursuant to a general reduction in annual base salaries applicable to all similarly situated employees, (ii) Participant experiences a significant diminution of position, duties, responsibilities or status or (iii) Participant is required to relocate to a location that exceeds a 50 mile radius from Participant’s primary workplace prior to such Change in Control.</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w:t>
      </w:r>
      <w:r>
        <w:rPr>
          <w:rFonts w:ascii="Times New Roman" w:cs="Times New Roman" w:eastAsia="Times New Roman" w:hAnsi="Times New Roman"/>
          <w:sz w:val="22"/>
          <w:szCs w:val="22"/>
          <w:color w:val="auto"/>
        </w:rPr>
        <w:t>. The Company may impose such restrictions, conditions or limitations as it determines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as to the timing and manner of any resales by Participant or other subsequent transfers by Participant of any Shares issued pursuant to Vested RSUs, including without limitation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66" w:lineRule="auto"/>
        <w:tabs>
          <w:tab w:leader="none" w:pos="1296"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as a Stockholder</w:t>
      </w:r>
      <w:r>
        <w:rPr>
          <w:rFonts w:ascii="Times New Roman" w:cs="Times New Roman" w:eastAsia="Times New Roman" w:hAnsi="Times New Roman"/>
          <w:sz w:val="21"/>
          <w:szCs w:val="21"/>
          <w:color w:val="auto"/>
        </w:rPr>
        <w:t>. Participant shall not be, nor have any of the rights or privileges of, a stockholder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in respect of any RSUs unless and until Shares settled for such RSUs shall have been issued by the Company to Participant (as evidenced by the appropriate entry on the books of the Company or of a duly authorized transfer agent of the Company). Notwithstanding the foregoing, from and after the Grant Date and until the earlier of (a) the time when the RSUs are settled in Shares in accordance with the terms hereof or (b) the time when Participant’s right to receive Common Stock upon payment of RSUs is forfeited, on the date that the Company pays a cash dividend (if any) to holders of Common Stock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Participant shall be credited with a dollar amount equal to (i) the per Share cash dividend paid by the Company on its Common Stock on such date, multiplied by (ii) the total number of RSUs subject to the Award that are outstanding immediately prior to the record date for that dividend (the “Dividend Equivalent Right”). Such Dividend Equivalent Rights (if any) shall be subject to the same terms and conditions, including vesting, the obligation to satisfy any withholding tax obligations and settlement, in the same manner and at the same time as the RSUs to which the Dividend Equivalent Rights relate; provided, however, that the amount of any vested Dividend Equivalent Rights shall be paid in cash and, provided further, that Participant shall be entitled to apply such Dividend Equivalent Rights to any withholding tax obligations.</w:t>
      </w:r>
    </w:p>
    <w:p>
      <w:pPr>
        <w:spacing w:after="0" w:line="176"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firstLine="1304"/>
        <w:spacing w:after="0" w:line="247" w:lineRule="auto"/>
        <w:tabs>
          <w:tab w:leader="none" w:pos="194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that, regardless of any action taken by the Company or, if different, the member of the Subsidiary or Affiliate for which Participant provides Continuous Service (the “Service Recipient”), the ultimate liability for all income tax, social insurance contributions, payroll tax, fringe benefits tax, payment on account, and other tax-related items related to Participant’s participation in the Plan and legally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Award, including, but not limited to, the grant, vesting, deferral, or settlement of the Award, the subsequent sale of Shares acquired pursuant to such settlement and the receipt of any dividends, Dividend Equivalent Rights or other distributions paid on the Shares, and (ii) do not commit to and are under no obligation to structure the terms of the grant or any aspect of the Award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relevant taxable or tax-withholding event, as applicable, Participant agrees to make arrangements satisfactory to the Company and/or the Service Recipient to satisfy any withholding obligations the Company and/or the Service Recipient may have for Tax-Related Items. In this regard, Participant authorizes the Company to satisfy any withholding obligation for Tax-Related Items by withholding from proceeds of the sale of Shares to be issued upon settlement of the Vested Units through a mandatory sale arranged by the Company (on Participant’s behalf pursuant to this authorization without further consent); provided, however, if the proceeds from such sale of Shares are not sufficient to fully satisfy any withholding obligation for Tax-Related Items, Participant authorizes the Company to satisfy such excess withholding obligation by withholding from Participant’s wages or other cash compensation payable to Participant by the Company or the Service Recipient[; provided, further, however, that if Participant has delivered a Deferral Election, Participant authorizes the Company to satisfy employment tax withholding obligations by withholding from Participant’s wages or other cash compensation payable to Participant by the Company or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Recipient]. Notwithstanding the forgoing, if Participant is either (i) a Section 16 officer of the Company under the Exchange Act or (ii) employed in China, then any withholding obligation for Tax-Related Items shall not be satisfied as described in the preceding sentence and instead shall be satisfied by withholding from Shares to be issued to Participant upon settlement of the Vested Units[; provided, however, that if Participant is a Section 16 officer and has delivered a Deferral Election, Participant authorizes the Company to satisfy employment tax withholding obligations by withholding from Participant’s wages or other cash compensation payable to Participant by the Company or the Service Recipient].</w:t>
      </w:r>
    </w:p>
    <w:p>
      <w:pPr>
        <w:spacing w:after="0" w:line="181" w:lineRule="exact"/>
        <w:rPr>
          <w:sz w:val="20"/>
          <w:szCs w:val="20"/>
          <w:color w:val="auto"/>
        </w:rPr>
      </w:pPr>
    </w:p>
    <w:p>
      <w:pPr>
        <w:jc w:val="both"/>
        <w:ind w:firstLine="1304"/>
        <w:spacing w:after="0" w:line="251" w:lineRule="auto"/>
        <w:tabs>
          <w:tab w:leader="none" w:pos="194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and/or the Service Recipient may withhold or account for Tax-Related Items by considering statutory withholding rates or other withholding rates, including maximum rates applicable in Participant’s jurisdiction(s), in which case Participant may receive a refund of any over-withheld amount in cash and will have no entitlement to the equivalent amount in Shares. If the withholding obligation for Tax-Related Items is satisfied by withholding Shares, for tax purposes, Participant will be deemed to have been issued the full number of Shares subject to the Vested Units, notwithstanding that a number of the Shares are held back solely for the purpose of satisfying the Tax-Related Items.</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deliver the Shares or the proceeds from the sale of Shares, if Participant fails to comply with Participant’s obligations for Tax-Related Items.</w:t>
      </w:r>
    </w:p>
    <w:p>
      <w:pPr>
        <w:spacing w:after="0" w:line="172"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r>
        <w:rPr>
          <w:rFonts w:ascii="Times New Roman" w:cs="Times New Roman" w:eastAsia="Times New Roman" w:hAnsi="Times New Roman"/>
          <w:sz w:val="22"/>
          <w:szCs w:val="22"/>
          <w:color w:val="auto"/>
        </w:rPr>
        <w:t>. Participant understands, acknowledges and agrees that, except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the Plan or as permitted by the Board, the Award may not be sold, assigned, transferred, pledged or otherwise directly or indirectly encumbered or disposed of other than by will or the laws of descent and distribution; provided, however, that Participant may transfer the Award to any “family member” of Participant (as such term is defined in Section A.1(a)(5) of the General Instructions to Form S-8 under the Securities Act of 1933, as amended (“Form S-8”)), to trusts solely for the benefit of such family members and to partnerships or limited liability companies in which such family members and/or trusts are the only partners/members; provided that, (i) as a condition thereof, the transferor and the transferee must execute a written agreement containing such terms as specified by the Board, and (ii) the transfer is pursuant to a gift or a domestic relations order to the extent permitted under the General Instructions to Form S-8. Except to the extent specified otherwise in the agreement the Board provides for Participant and transferee to execute, all vesting, exercisability, settlement, deferral, and forfeiture provisions that are conditioned on Participant’s Continuous Service shall continue to be determined with reference to Participant’s employment or service (and not to the status of the transferee) after any transfer of the Award pursuant to this Section 8, and the responsibility to pay any taxes in connection with the Award shall remain with Participant notwithstanding any transfer other than by will or intestate succession.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94"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 Privacy Consent</w:t>
      </w:r>
      <w:r>
        <w:rPr>
          <w:rFonts w:ascii="Times New Roman" w:cs="Times New Roman" w:eastAsia="Times New Roman" w:hAnsi="Times New Roman"/>
          <w:sz w:val="22"/>
          <w:szCs w:val="22"/>
          <w:color w:val="auto"/>
        </w:rPr>
        <w:t>.</w:t>
      </w:r>
    </w:p>
    <w:p>
      <w:pPr>
        <w:spacing w:after="0" w:line="217" w:lineRule="exact"/>
        <w:rPr>
          <w:rFonts w:ascii="Times New Roman" w:cs="Times New Roman" w:eastAsia="Times New Roman" w:hAnsi="Times New Roman"/>
          <w:sz w:val="22"/>
          <w:szCs w:val="22"/>
          <w:b w:val="1"/>
          <w:bCs w:val="1"/>
          <w:color w:val="auto"/>
        </w:rPr>
      </w:pPr>
    </w:p>
    <w:p>
      <w:pPr>
        <w:jc w:val="both"/>
        <w:ind w:firstLine="1304"/>
        <w:spacing w:after="0" w:line="254" w:lineRule="auto"/>
        <w:tabs>
          <w:tab w:leader="none" w:pos="1941"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Participant consents to the collection, use and transfer, in electronic or other form, of Participant’s personal data as described in this Award Agreement and any other grant materials by and among, as applicable, the Company, the Service Recipient and any other Subsidiary or Affiliate for the exclusive purpose of implementing, administering and managing Participant’s participation in the Plan, to the extent consent is required by applicable law for the collection, use and transfer of the same.</w:t>
      </w:r>
    </w:p>
    <w:p>
      <w:pPr>
        <w:spacing w:after="0" w:line="17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Participant understands that the Company, the Service Recipient and other Affiliates may hold certain personal information about Participant, including, but not limited to, Participant’s name, home address, email address and telephone number, date of birth, social insurance number, passport or other identification number, salary, nationality, job title, any Shares or directorships held in the Company, details of all RSUs or any other entitlement to Shares or equivalent benefits awarded, canceled, exercised, vested, unvested or outstanding in Participant’s favor (“Data”), for the purpose of implementing, administering and managing the Plan.</w:t>
      </w:r>
    </w:p>
    <w:p>
      <w:pPr>
        <w:spacing w:after="0" w:line="174"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41"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Participant understands that Data will be transferred to certain third parties, such as Morgan Stanley and certain of its affiliated companies (collectively, “Morgan Stanley”) which is assisting the Company with the implementation, administration and management of the Plan. Participant understands that the recipients of Data may be located in the United States or elsewhere, and that the recipients’ country (e.g., the United States) may have different data privacy laws and protections than Participant’s country. Participant understands that, if and to the extent the right is expressly provided under applicable law, he or she may request a list with the names and addresses of any potential recipients or categories of recipients to whom Data has or will be disclosed by contacting his or her local human resources representative. Participant authorizes the Company and any other possible recipients which may assist the Company (presently or in the future) with implementing, administering and managing the Plan to collect, receive, possess, use, retain, transfer, or otherwise process Data, in electronic or other form, for the sole purpose of implementing, administering and managing Participant’s participation in the Plan. The Company may further transfer Data to its transfer agent, payroll providers and/or certain other service provider(s) as may be, presently or in the future, engaged to assist with the implementation, administration and management of the Plan. Participant may be asked to agree on separate terms and data processing practices with the service provider, with such agreement being a condition to the ability to participate in the Plan.</w:t>
      </w:r>
    </w:p>
    <w:p>
      <w:pPr>
        <w:spacing w:after="0" w:line="170" w:lineRule="exact"/>
        <w:rPr>
          <w:rFonts w:ascii="Times New Roman" w:cs="Times New Roman" w:eastAsia="Times New Roman" w:hAnsi="Times New Roman"/>
          <w:sz w:val="21"/>
          <w:szCs w:val="21"/>
          <w:color w:val="auto"/>
        </w:rPr>
      </w:pPr>
    </w:p>
    <w:p>
      <w:pPr>
        <w:jc w:val="both"/>
        <w:ind w:firstLine="1304"/>
        <w:spacing w:after="0" w:line="269" w:lineRule="auto"/>
        <w:tabs>
          <w:tab w:leader="none" w:pos="1939"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Participant understands that Data will be held only as long as is necessary to implement, administer and manage his or her participation in the Plan. Participant understands that, if and to the extent the right is expressly provided under applicable law, Participant may view Data, request additional information about the storage and processing of Data, require any necessary amendments to Data or refuse or withdraw the consents herein, in any case without cost, by contacting Participant’s local human resources representative. Further, Participant understands that any consent he or she is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herein is on a purely voluntary basis. If Participant does not consent, or if Participant later seeks to revoke his or her consent, Participant’s Continuous Service and career with the Service Recipient will not be affected; the only consequence of refusing or withdrawing his or her consent may be that the Company would not be able to grant RSUs or other equity awards to Participant or administer or maintain such awards. Therefore, Participant understands that refusing or withdrawing his or her consent may affect his or her ability to participate in the Plan. For more information on the consequences of Participant’s refusal to consent or withdrawal of consent, Participant understands that he or she may contact his or her local human resources representative.</w:t>
      </w:r>
    </w:p>
    <w:p>
      <w:pPr>
        <w:spacing w:after="0" w:line="175" w:lineRule="exact"/>
        <w:rPr>
          <w:sz w:val="20"/>
          <w:szCs w:val="20"/>
          <w:color w:val="auto"/>
        </w:rPr>
      </w:pPr>
    </w:p>
    <w:p>
      <w:pPr>
        <w:jc w:val="both"/>
        <w:ind w:firstLine="656"/>
        <w:spacing w:after="0" w:line="265" w:lineRule="auto"/>
        <w:tabs>
          <w:tab w:leader="none" w:pos="1296"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r>
        <w:rPr>
          <w:rFonts w:ascii="Times New Roman" w:cs="Times New Roman" w:eastAsia="Times New Roman" w:hAnsi="Times New Roman"/>
          <w:sz w:val="22"/>
          <w:szCs w:val="22"/>
          <w:color w:val="auto"/>
        </w:rPr>
        <w:t>. The Grant Notice, this Award Agreement, the Plan, any Deferral Election,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Separate Agreement constitute the entire understanding between Participant and the Company regarding the Award. Any prior agreements, commitments or negotiations concerning the Award are superseded.</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53" w:lineRule="auto"/>
        <w:tabs>
          <w:tab w:leader="none" w:pos="1284"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r>
        <w:rPr>
          <w:rFonts w:ascii="Times New Roman" w:cs="Times New Roman" w:eastAsia="Times New Roman" w:hAnsi="Times New Roman"/>
          <w:sz w:val="22"/>
          <w:szCs w:val="22"/>
          <w:color w:val="auto"/>
        </w:rPr>
        <w:t>. Neither Participant (individually or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 of a group) nor any beneficiary or other person claiming under or through Participant shall have any right, title, interest, or privilege in or to any Shares allocated or reserved for the purpose of the Plan or subject to the Grant Notice or this Award Agreement except as to such Shares, if any, as shall have been issued to such person in connection with the Award.</w:t>
      </w:r>
    </w:p>
    <w:p>
      <w:pPr>
        <w:spacing w:after="0" w:line="188" w:lineRule="exact"/>
        <w:rPr>
          <w:rFonts w:ascii="Times New Roman" w:cs="Times New Roman" w:eastAsia="Times New Roman" w:hAnsi="Times New Roman"/>
          <w:sz w:val="22"/>
          <w:szCs w:val="22"/>
          <w:b w:val="1"/>
          <w:bCs w:val="1"/>
          <w:color w:val="auto"/>
        </w:rPr>
      </w:pPr>
    </w:p>
    <w:p>
      <w:pPr>
        <w:jc w:val="both"/>
        <w:ind w:firstLine="656"/>
        <w:spacing w:after="0" w:line="253" w:lineRule="auto"/>
        <w:tabs>
          <w:tab w:leader="none" w:pos="1296"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Service</w:t>
      </w:r>
      <w:r>
        <w:rPr>
          <w:rFonts w:ascii="Times New Roman" w:cs="Times New Roman" w:eastAsia="Times New Roman" w:hAnsi="Times New Roman"/>
          <w:sz w:val="22"/>
          <w:szCs w:val="22"/>
          <w:color w:val="auto"/>
        </w:rPr>
        <w:t>. Nothing in the Plan, the Grant Notice, this Award Agreement or any other instrument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pursuant to the Plan shall confer upon Participant any right to continue in the Company’s employ or service nor limit in any way the Company’s (or any Affiliate’s or Subsidiary’s) right to terminate Participant’s employment or service at any time for any reason or no reason, with or without Cause, and with or without advance notice.</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69" w:lineRule="auto"/>
        <w:tabs>
          <w:tab w:leader="none" w:pos="1296" w:val="left"/>
        </w:tabs>
        <w:numPr>
          <w:ilvl w:val="0"/>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Liability of Company</w:t>
      </w:r>
      <w:r>
        <w:rPr>
          <w:rFonts w:ascii="Times New Roman" w:cs="Times New Roman" w:eastAsia="Times New Roman" w:hAnsi="Times New Roman"/>
          <w:sz w:val="21"/>
          <w:szCs w:val="21"/>
          <w:color w:val="auto"/>
        </w:rPr>
        <w:t>. The Company and any Affiliate or Subsidiary which is in existence or hereafter comes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into existence shall not be liable to Participant or any other person as to: (a) the non-issuance or sale of Shares as to which the Company has been unable to obtain from any regulatory body having jurisdiction the authority deemed by the Company’s counsel to be necessary to the lawful issuance and sale of any Shares hereunder; and (b) any tax consequence expected, but not realized, by Participant or other person due to the receipt or settlement of any Restricted Stock Units granted hereunder.</w:t>
      </w:r>
    </w:p>
    <w:p>
      <w:pPr>
        <w:spacing w:after="0" w:line="158"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Plan Document</w:t>
      </w:r>
      <w:r>
        <w:rPr>
          <w:rFonts w:ascii="Times New Roman" w:cs="Times New Roman" w:eastAsia="Times New Roman" w:hAnsi="Times New Roman"/>
          <w:sz w:val="22"/>
          <w:szCs w:val="22"/>
          <w:color w:val="auto"/>
        </w:rPr>
        <w:t>. The Award is subject to all the provisions of the Plan, the provisions of which are hereby made a part of the Award, and is further subject to all interpretations, amendments, rules and regulations, which may from time to time be promulgated and adopted pursuant to the Plan. In the event of a conflict between the general terms and conditions of the Plan and this Award Agreement, the terms and conditions of the Plan shall prevail; however, this Award Agreement sets out specific terms for the Award, and those terms will prevail over more general terms in the Plan on the same issue, if any, or in the conflict between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98" w:lineRule="exact"/>
        <w:rPr>
          <w:sz w:val="20"/>
          <w:szCs w:val="20"/>
          <w:color w:val="auto"/>
        </w:rPr>
      </w:pPr>
    </w:p>
    <w:p>
      <w:pPr>
        <w:ind w:left="1940" w:hanging="636"/>
        <w:spacing w:after="0"/>
        <w:tabs>
          <w:tab w:leader="none" w:pos="19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Choice of Venue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firstLine="1292"/>
        <w:spacing w:after="0" w:line="271" w:lineRule="auto"/>
        <w:tabs>
          <w:tab w:leader="none" w:pos="2592"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and construed in accordance with, the laws of the State of Delaware, without regard to principles of conflicts of law.</w:t>
      </w:r>
    </w:p>
    <w:p>
      <w:pPr>
        <w:spacing w:after="0" w:line="171" w:lineRule="exact"/>
        <w:rPr>
          <w:rFonts w:ascii="Times New Roman" w:cs="Times New Roman" w:eastAsia="Times New Roman" w:hAnsi="Times New Roman"/>
          <w:sz w:val="22"/>
          <w:szCs w:val="22"/>
          <w:color w:val="auto"/>
        </w:rPr>
      </w:pPr>
    </w:p>
    <w:p>
      <w:pPr>
        <w:jc w:val="both"/>
        <w:ind w:left="660" w:firstLine="1292"/>
        <w:spacing w:after="0" w:line="247" w:lineRule="auto"/>
        <w:tabs>
          <w:tab w:leader="none" w:pos="2598"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Furthermore, each of the parties irrevocably submits to the exclusive jurisdiction of the Court of Chancery of the State of Delaware or, to the extent the Court of Chancery does not have subject matter jurisdiction, the United States District Court for the District of Delaware and the appellate courts having jurisdiction of appeals in such courts for the purpose of any suit, action or other proceeding arising out of this Award Agreement. Each of the parties hereto further agrees that service of any process, summons, notice or document by U.S. registered mail or its foreign equivalent to such party’s respective address shall be effective service of process for any action, suit or proceeding with respect to any matters to which it has submitted to jurisdiction in this Section 14(b). Each of the parties hereto irrevocably and unconditionally waives any objection to the laying of venue of any action, suite or proceeding arising out of this Award Agreement in Delaware, and further irrevocably and unconditionally waives and agrees not to plead or claim in any such court that any such action, suit or proceeding brought in any such court has been brought in an inconvenient forum.</w:t>
      </w:r>
    </w:p>
    <w:p>
      <w:pPr>
        <w:spacing w:after="0" w:line="20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By executing the Grant Notice, Participant hereby consents to the delivery of information (including, without limitation, information required to be delivered to Participant pursuant to applicable securities laws) regarding the Company and its Affiliates, the Plan, the Award and the Common Stock via Company web site or other electronic delivery established and maintained by the Company or a third party designated by the Company.</w:t>
      </w:r>
    </w:p>
    <w:p>
      <w:pPr>
        <w:spacing w:after="0" w:line="19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to be delivered under this Award Agreement shall be in writing (which shall include electronic transmission) and shall be deemed received (i) the business day following electronic verification of receipt if sent electronically, (ii) upon personal delivery to the party to whom the notice is directed, or (iii) the business day following deposit with a reputable overnight courier (or the second business day following deposit in the case of an international delivery). Notice shall be addressed to the Company’s Legal Department and to Participant at the address that he or she most recently provided to the Company. The recipient may acknowledge actual receipt at a time earlier than the deemed receipt set forth herein or by a means other than that set forth herein.</w:t>
      </w:r>
    </w:p>
    <w:p>
      <w:pPr>
        <w:spacing w:after="0" w:line="180"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Successors/Assigns</w:t>
      </w:r>
      <w:r>
        <w:rPr>
          <w:rFonts w:ascii="Times New Roman" w:cs="Times New Roman" w:eastAsia="Times New Roman" w:hAnsi="Times New Roman"/>
          <w:sz w:val="22"/>
          <w:szCs w:val="22"/>
          <w:color w:val="auto"/>
        </w:rPr>
        <w:t>. This Award Agreement shall inure to the benefit of and be binding upon the parties hereto and their respective permitted heirs, beneficiaries, successors and assigns.</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one or more provisions of this Award Agreement are held to be unenforceable under applicable law, such provision shall be excluded from this Award Agreement, and the balance of the Award Agreement shall be interpreted as if such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were so excluded and shall be enforceable in accordance with its terms. The parties agree to replace such illegal, void, invalid or unenforceable provision of this Award Agreement with a legal, valid and enforceable provision that will achieve, to the extent possible, the economic, business and other purposes of such illegal, void, invalid or unenforceable provision.</w:t>
      </w:r>
    </w:p>
    <w:p>
      <w:pPr>
        <w:spacing w:after="0" w:line="186" w:lineRule="exact"/>
        <w:rPr>
          <w:sz w:val="20"/>
          <w:szCs w:val="20"/>
          <w:color w:val="auto"/>
        </w:rPr>
      </w:pPr>
    </w:p>
    <w:p>
      <w:pPr>
        <w:jc w:val="both"/>
        <w:ind w:firstLine="1304"/>
        <w:spacing w:after="0" w:line="257" w:lineRule="auto"/>
        <w:tabs>
          <w:tab w:leader="none" w:pos="1939"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Participant acknowledges that a waiver by the Company or breach of any provision of this Award Agreement shall not operate or be construed as a waiver of any other provision of this Award Agreement, or of any subsequent breach by Participant or any other participants.</w:t>
      </w:r>
    </w:p>
    <w:p>
      <w:pPr>
        <w:spacing w:after="0" w:line="172"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9"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Restrictions / Market Abuse Laws</w:t>
      </w:r>
      <w:r>
        <w:rPr>
          <w:rFonts w:ascii="Times New Roman" w:cs="Times New Roman" w:eastAsia="Times New Roman" w:hAnsi="Times New Roman"/>
          <w:sz w:val="21"/>
          <w:szCs w:val="21"/>
          <w:color w:val="auto"/>
        </w:rPr>
        <w:t>. By accepting the Award, Participant acknowledges that he or she is bound by all the terms and conditions of the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(e.g., Restricted Stock Units) or rights linked to the value of Shares under the Plan during such times as Participant is considered to have “inside information” regarding the Company (as defined by the laws in the applicable jurisdictions). Local insider trading laws and regulations may prohibit the cancellation or amendment of orders Participant placed before he or she possessed inside information. Furthermore, Participant could be prohibited from</w:t>
      </w:r>
    </w:p>
    <w:p>
      <w:pPr>
        <w:spacing w:after="0" w:line="6" w:lineRule="exact"/>
        <w:rPr>
          <w:rFonts w:ascii="Times New Roman" w:cs="Times New Roman" w:eastAsia="Times New Roman" w:hAnsi="Times New Roman"/>
          <w:sz w:val="21"/>
          <w:szCs w:val="21"/>
          <w:color w:val="auto"/>
        </w:rPr>
      </w:pPr>
    </w:p>
    <w:p>
      <w:pPr>
        <w:jc w:val="both"/>
        <w:ind w:firstLine="8"/>
        <w:spacing w:after="0" w:line="247" w:lineRule="auto"/>
        <w:tabs>
          <w:tab w:leader="none" w:pos="30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the inside information to any third party, which may include fellow employees or service providers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his or her responsibility to comply with any applicable restrictions, and Participant should speak to his or her personal advisor on this matter.</w:t>
      </w:r>
    </w:p>
    <w:p>
      <w:pPr>
        <w:spacing w:after="0" w:line="19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the Award and the Shares acquired upon settlement of the RSUs, to the extent the Company determines it is necessary or advisable for legal or administrative reasons, and to require Participant to enter into any additional agreements or undertakings that may be necessary to accomplish the foregoing.</w:t>
      </w:r>
    </w:p>
    <w:p>
      <w:pPr>
        <w:spacing w:after="0" w:line="17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2"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Notwithstanding any other provision of the Plan or this Award Agreement, unless there is an available exemption from any registration, qualification or other legal requirement applicable to the Shares, the Company shall not be required to deliver any Shares issuable upon settlement of the Award prior to the completion of any registration or qualification of the Common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subject to the Award with the SEC or any state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foreign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securities or other laws applicable to the issuance of the Shares.</w:t>
      </w:r>
    </w:p>
    <w:p>
      <w:pPr>
        <w:spacing w:after="0" w:line="176" w:lineRule="exact"/>
        <w:rPr>
          <w:sz w:val="20"/>
          <w:szCs w:val="20"/>
          <w:color w:val="auto"/>
        </w:rPr>
      </w:pPr>
    </w:p>
    <w:p>
      <w:pPr>
        <w:jc w:val="both"/>
        <w:ind w:firstLine="1304"/>
        <w:spacing w:after="0" w:line="250" w:lineRule="auto"/>
        <w:tabs>
          <w:tab w:leader="none" w:pos="193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Notwithstanding any provision in this Global Restricted Stock Unit Award Agreement, the RSUs shall be subject to the additional general terms and conditions for Participants in countries outside the United States as well as any special terms and conditions for Participant’s country, all as set forth in the Addendum attached hereto. If Participant transfers from the United States to a country outside the United States, or if Participant relocates between countries included in the Addendum during the life of the RSUs, the applicable terms and conditions in the Addendum shall apply to Participant, to the extent the Company determines that the application of such terms and conditions is necessary or advisable for legal or administrative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0"/>
          <w:szCs w:val="20"/>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LP</w:t>
      </w:r>
    </w:p>
    <w:p>
      <w:pPr>
        <w:spacing w:after="0" w:line="22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EVERGREEN FUND INCENTIVE PLAN</w:t>
      </w:r>
    </w:p>
    <w:p>
      <w:pPr>
        <w:spacing w:after="0" w:line="108"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PURPOSE; DEFINITIONS.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 The purpose of the StepStone Group LP Evergreen Fund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to (i) recognize through participation in the Plan key performers for their contributions to the Company; (ii) motivate such persons to act in the long-term best interests of the Employer; and (iv) enable the Employer to continue to retain and enlist the best available talent for the conduct of its business.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As used in this Plan, the following terms will have the following meanings:</w:t>
      </w:r>
    </w:p>
    <w:p>
      <w:pPr>
        <w:spacing w:after="0" w:line="225" w:lineRule="exact"/>
        <w:rPr>
          <w:sz w:val="20"/>
          <w:szCs w:val="20"/>
          <w:color w:val="auto"/>
        </w:rPr>
      </w:pPr>
    </w:p>
    <w:p>
      <w:pPr>
        <w:ind w:left="1960" w:hanging="494"/>
        <w:spacing w:after="0" w:line="273" w:lineRule="auto"/>
        <w:tabs>
          <w:tab w:leader="none" w:pos="195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shall mean any entity that directly or indirectly through one or more intermediaries would considered a single employer with the Company under Code Section 414.</w:t>
      </w:r>
    </w:p>
    <w:p>
      <w:pPr>
        <w:spacing w:after="0" w:line="165" w:lineRule="exact"/>
        <w:rPr>
          <w:rFonts w:ascii="Times New Roman" w:cs="Times New Roman" w:eastAsia="Times New Roman" w:hAnsi="Times New Roman"/>
          <w:sz w:val="20"/>
          <w:szCs w:val="20"/>
          <w:color w:val="auto"/>
        </w:rPr>
      </w:pPr>
    </w:p>
    <w:p>
      <w:pPr>
        <w:jc w:val="both"/>
        <w:ind w:left="1960" w:hanging="494"/>
        <w:spacing w:after="0" w:line="263" w:lineRule="auto"/>
        <w:tabs>
          <w:tab w:leader="none" w:pos="194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an award granted under this Plan to receive an amount payable in cash or property equal to the Fair Market Value of a Share on the date of determination, multiplied by the number of Shares Units with respect to which the Award is being settled.</w:t>
      </w:r>
    </w:p>
    <w:p>
      <w:pPr>
        <w:spacing w:after="0" w:line="175" w:lineRule="exact"/>
        <w:rPr>
          <w:rFonts w:ascii="Times New Roman" w:cs="Times New Roman" w:eastAsia="Times New Roman" w:hAnsi="Times New Roman"/>
          <w:sz w:val="20"/>
          <w:szCs w:val="20"/>
          <w:color w:val="auto"/>
        </w:rPr>
      </w:pPr>
    </w:p>
    <w:p>
      <w:pPr>
        <w:ind w:left="1960" w:hanging="494"/>
        <w:spacing w:after="0" w:line="273" w:lineRule="auto"/>
        <w:tabs>
          <w:tab w:leader="none" w:pos="195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with respect to each Award, the signed written agreement between the Company and the Participant setting forth the terms and conditions of the Award.</w:t>
      </w:r>
    </w:p>
    <w:p>
      <w:pPr>
        <w:spacing w:after="0" w:line="165" w:lineRule="exact"/>
        <w:rPr>
          <w:rFonts w:ascii="Times New Roman" w:cs="Times New Roman" w:eastAsia="Times New Roman" w:hAnsi="Times New Roman"/>
          <w:sz w:val="20"/>
          <w:szCs w:val="20"/>
          <w:color w:val="auto"/>
        </w:rPr>
      </w:pPr>
    </w:p>
    <w:p>
      <w:pPr>
        <w:jc w:val="both"/>
        <w:ind w:left="1960" w:hanging="494"/>
        <w:spacing w:after="0" w:line="269" w:lineRule="auto"/>
        <w:tabs>
          <w:tab w:leader="none" w:pos="1948"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has the meaning ascribed to such term in any written agreement between the Participant and the Employer or any Affiliate defining such term and, in the absence of such agreement, such term means, with respect to a Participant, the occurrence of any of the following events: (i) Participant’s failure substantially to perform his or her</w:t>
      </w:r>
    </w:p>
    <w:p>
      <w:pPr>
        <w:ind w:left="1960"/>
        <w:spacing w:after="0"/>
        <w:rPr>
          <w:sz w:val="20"/>
          <w:szCs w:val="20"/>
          <w:color w:val="auto"/>
        </w:rPr>
      </w:pPr>
      <w:r>
        <w:rPr>
          <w:rFonts w:ascii="Times New Roman" w:cs="Times New Roman" w:eastAsia="Times New Roman" w:hAnsi="Times New Roman"/>
          <w:sz w:val="20"/>
          <w:szCs w:val="20"/>
          <w:color w:val="auto"/>
        </w:rPr>
        <w:t>duties and responsibilities to the Employer or any Affiliate or violation of a policy of the Employer or any Affiliate;</w:t>
      </w:r>
    </w:p>
    <w:p>
      <w:pPr>
        <w:spacing w:after="0" w:line="6" w:lineRule="exact"/>
        <w:rPr>
          <w:sz w:val="20"/>
          <w:szCs w:val="20"/>
          <w:color w:val="auto"/>
        </w:rPr>
      </w:pPr>
    </w:p>
    <w:p>
      <w:pPr>
        <w:jc w:val="both"/>
        <w:ind w:left="1960" w:hanging="8"/>
        <w:spacing w:after="0" w:line="248" w:lineRule="auto"/>
        <w:tabs>
          <w:tab w:leader="none" w:pos="225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commission of any act of fraud, embezzlement, dishonesty or any other misconduct that has caused or is reasonably expected to result in injury to the Employer or any Affiliate; (iii) unauthorized use or disclosure by Participant of any proprietary information or trade secrets of the Employer or any other party to whom the Participant owes an obligation of nondisclosure as a result of his or her relationship with the Employer or any Affiliate; or (iv) Participant’s breach of any of his or her obligations under any written agreement or covenant with the Employer or any Affiliate. The determination as to whether a Participant is being terminated for Cause will be made in good faith by the Plan Administrator and will be final and binding on the Participant. Any determination by the Company that the Continuous Service of a Participant was terminated with or without Cause for the purposes of outstanding Awards held by such Participant will have no effect upon any determination of the rights or obligations of the Company, any Affiliate or such Participant for any other purpose.</w:t>
      </w:r>
    </w:p>
    <w:p>
      <w:pPr>
        <w:sectPr>
          <w:pgSz w:w="11900" w:h="16838" w:orient="portrait"/>
          <w:cols w:equalWidth="0" w:num="1">
            <w:col w:w="11240"/>
          </w:cols>
          <w:pgMar w:left="320" w:top="114" w:right="339" w:bottom="1440" w:gutter="0" w:footer="0" w:header="0"/>
        </w:sectPr>
      </w:pPr>
    </w:p>
    <w:bookmarkStart w:id="216" w:name="page217"/>
    <w:bookmarkEnd w:id="216"/>
    <w:p>
      <w:pPr>
        <w:ind w:left="840" w:right="20" w:hanging="494"/>
        <w:spacing w:after="0" w:line="287" w:lineRule="auto"/>
        <w:tabs>
          <w:tab w:leader="none" w:pos="83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the occurrence, in a single transaction or in a series of related transactions, of any one or more of the following events:</w:t>
      </w:r>
    </w:p>
    <w:p>
      <w:pPr>
        <w:spacing w:after="0" w:line="142" w:lineRule="exact"/>
        <w:rPr>
          <w:rFonts w:ascii="Times New Roman" w:cs="Times New Roman" w:eastAsia="Times New Roman" w:hAnsi="Times New Roman"/>
          <w:sz w:val="20"/>
          <w:szCs w:val="20"/>
          <w:color w:val="auto"/>
        </w:rPr>
      </w:pPr>
    </w:p>
    <w:p>
      <w:pPr>
        <w:jc w:val="both"/>
        <w:ind w:left="840" w:firstLine="640"/>
        <w:spacing w:after="0" w:line="254" w:lineRule="auto"/>
        <w:tabs>
          <w:tab w:leader="none" w:pos="2134"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w:t>
      </w:r>
    </w:p>
    <w:p>
      <w:pPr>
        <w:jc w:val="both"/>
        <w:ind w:left="840" w:hanging="8"/>
        <w:spacing w:after="0" w:line="246" w:lineRule="auto"/>
        <w:tabs>
          <w:tab w:leader="none" w:pos="1181"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w:t>
      </w:r>
    </w:p>
    <w:p>
      <w:pPr>
        <w:spacing w:after="0" w:line="1" w:lineRule="exact"/>
        <w:rPr>
          <w:rFonts w:ascii="Times New Roman" w:cs="Times New Roman" w:eastAsia="Times New Roman" w:hAnsi="Times New Roman"/>
          <w:sz w:val="20"/>
          <w:szCs w:val="20"/>
          <w:color w:val="auto"/>
        </w:rPr>
      </w:pPr>
    </w:p>
    <w:p>
      <w:pPr>
        <w:jc w:val="both"/>
        <w:ind w:left="840" w:hanging="8"/>
        <w:spacing w:after="0" w:line="250" w:lineRule="auto"/>
        <w:tabs>
          <w:tab w:leader="none" w:pos="117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because the level of Ownership held by any Exchange Act Person (the “</w:t>
      </w:r>
      <w:r>
        <w:rPr>
          <w:rFonts w:ascii="Times New Roman" w:cs="Times New Roman" w:eastAsia="Times New Roman" w:hAnsi="Times New Roman"/>
          <w:sz w:val="20"/>
          <w:szCs w:val="20"/>
          <w:b w:val="1"/>
          <w:bCs w:val="1"/>
          <w:i w:val="1"/>
          <w:iCs w:val="1"/>
          <w:color w:val="auto"/>
        </w:rPr>
        <w:t>Subject Person</w:t>
      </w:r>
      <w:r>
        <w:rPr>
          <w:rFonts w:ascii="Times New Roman" w:cs="Times New Roman" w:eastAsia="Times New Roman" w:hAnsi="Times New Roman"/>
          <w:sz w:val="20"/>
          <w:szCs w:val="20"/>
          <w:color w:val="auto"/>
        </w:rPr>
        <w:t>”) exceeds the designated percentage threshold of the outstanding voting securities as a result of a repurchase or other acquisition of voting securities by the Company reducing the number of units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1" w:lineRule="exact"/>
        <w:rPr>
          <w:rFonts w:ascii="Times New Roman" w:cs="Times New Roman" w:eastAsia="Times New Roman" w:hAnsi="Times New Roman"/>
          <w:sz w:val="20"/>
          <w:szCs w:val="20"/>
          <w:color w:val="auto"/>
        </w:rPr>
      </w:pPr>
    </w:p>
    <w:p>
      <w:pPr>
        <w:jc w:val="both"/>
        <w:ind w:left="840" w:firstLine="640"/>
        <w:spacing w:after="0" w:line="251" w:lineRule="auto"/>
        <w:tabs>
          <w:tab w:leader="none" w:pos="2135" w:val="left"/>
        </w:tabs>
        <w:numPr>
          <w:ilvl w:val="2"/>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consummated a merger, consolidation or similar transaction involving (directly or indirectly) the Company and, immediately after the consummation of such merger, consolidation or similar transaction, the unitholders of the Company immediately prior thereto do not Own, directly or indirectly, either (A) outstanding voting securities representing 50% or more of the combined outstanding voting power of the surviving Entity in such merger, consolidation or similar transaction or (B) 50% or more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95" w:lineRule="exact"/>
        <w:rPr>
          <w:rFonts w:ascii="Times New Roman" w:cs="Times New Roman" w:eastAsia="Times New Roman" w:hAnsi="Times New Roman"/>
          <w:sz w:val="20"/>
          <w:szCs w:val="20"/>
          <w:color w:val="auto"/>
        </w:rPr>
      </w:pPr>
    </w:p>
    <w:p>
      <w:pPr>
        <w:jc w:val="both"/>
        <w:ind w:left="840" w:firstLine="640"/>
        <w:spacing w:after="0" w:line="251" w:lineRule="auto"/>
        <w:tabs>
          <w:tab w:leader="none" w:pos="2136" w:val="left"/>
        </w:tabs>
        <w:numPr>
          <w:ilvl w:val="2"/>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consummated a sale, lease, license or other disposition of all or substantially all of the consolidated assets of the Company and its Subsidiaries or any consolidated subsidiaries of the Company, other than a sale, lease, license or other disposition of all or substantially all of the consolidated assets of the Company and its Subsidiaries or any consolidated subsidiaries of the Company to an Entity, more than 50% of the combined voting power of the voting securities of which are Owned by unitholders of the Company in substantially the same proportions as their Ownership of the outstanding voting securities of the Company immediately prior to such sale, lease, license or other disposition; or</w:t>
      </w:r>
    </w:p>
    <w:p>
      <w:pPr>
        <w:sectPr>
          <w:pgSz w:w="11900" w:h="16838" w:orient="portrait"/>
          <w:cols w:equalWidth="0" w:num="1">
            <w:col w:w="10120"/>
          </w:cols>
          <w:pgMar w:left="1440" w:top="1409" w:right="339" w:bottom="1440" w:gutter="0" w:footer="0" w:header="0"/>
        </w:sectPr>
      </w:pPr>
    </w:p>
    <w:bookmarkStart w:id="217" w:name="page218"/>
    <w:bookmarkEnd w:id="217"/>
    <w:p>
      <w:pPr>
        <w:jc w:val="both"/>
        <w:ind w:left="840" w:firstLine="640"/>
        <w:spacing w:after="0" w:line="269" w:lineRule="auto"/>
        <w:tabs>
          <w:tab w:leader="none" w:pos="2125"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provided, however, that if no definition of Change in Control or any analogous term is set forth in such an individual written agreement, the foregoing definition will apply.</w:t>
      </w:r>
    </w:p>
    <w:p>
      <w:pPr>
        <w:spacing w:after="0" w:line="173" w:lineRule="exact"/>
        <w:rPr>
          <w:rFonts w:ascii="Times New Roman" w:cs="Times New Roman" w:eastAsia="Times New Roman" w:hAnsi="Times New Roman"/>
          <w:sz w:val="19"/>
          <w:szCs w:val="19"/>
          <w:color w:val="auto"/>
        </w:rPr>
      </w:pPr>
    </w:p>
    <w:p>
      <w:pPr>
        <w:ind w:left="820" w:hanging="474"/>
        <w:spacing w:after="0"/>
        <w:tabs>
          <w:tab w:leader="none" w:pos="82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and the regulations issued thereunder.</w:t>
      </w:r>
    </w:p>
    <w:p>
      <w:pPr>
        <w:spacing w:after="0" w:line="215" w:lineRule="exact"/>
        <w:rPr>
          <w:rFonts w:ascii="Times New Roman" w:cs="Times New Roman" w:eastAsia="Times New Roman" w:hAnsi="Times New Roman"/>
          <w:sz w:val="20"/>
          <w:szCs w:val="20"/>
          <w:color w:val="auto"/>
        </w:rPr>
      </w:pPr>
    </w:p>
    <w:p>
      <w:pPr>
        <w:ind w:left="820" w:hanging="474"/>
        <w:spacing w:after="0"/>
        <w:tabs>
          <w:tab w:leader="none" w:pos="82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StepStone Group LP, a Delaware limited partnership.</w:t>
      </w:r>
    </w:p>
    <w:p>
      <w:pPr>
        <w:spacing w:after="0" w:line="229" w:lineRule="exact"/>
        <w:rPr>
          <w:rFonts w:ascii="Times New Roman" w:cs="Times New Roman" w:eastAsia="Times New Roman" w:hAnsi="Times New Roman"/>
          <w:sz w:val="20"/>
          <w:szCs w:val="20"/>
          <w:color w:val="auto"/>
        </w:rPr>
      </w:pPr>
    </w:p>
    <w:p>
      <w:pPr>
        <w:ind w:left="840" w:hanging="494"/>
        <w:spacing w:after="0" w:line="273" w:lineRule="auto"/>
        <w:tabs>
          <w:tab w:leader="none" w:pos="82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 of Directors of StepStone Group,</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w:t>
      </w:r>
    </w:p>
    <w:p>
      <w:pPr>
        <w:spacing w:after="0" w:line="165" w:lineRule="exact"/>
        <w:rPr>
          <w:rFonts w:ascii="Times New Roman" w:cs="Times New Roman" w:eastAsia="Times New Roman" w:hAnsi="Times New Roman"/>
          <w:sz w:val="20"/>
          <w:szCs w:val="20"/>
          <w:color w:val="auto"/>
        </w:rPr>
      </w:pPr>
    </w:p>
    <w:p>
      <w:pPr>
        <w:jc w:val="both"/>
        <w:ind w:left="840" w:hanging="494"/>
        <w:spacing w:after="0" w:line="254" w:lineRule="auto"/>
        <w:tabs>
          <w:tab w:leader="none" w:pos="83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Plan Administrator on the basis of such medical evidence as the Plan Administrator deems warranted under the circumstances</w:t>
      </w:r>
      <w:r>
        <w:rPr>
          <w:rFonts w:ascii="Times New Roman" w:cs="Times New Roman" w:eastAsia="Times New Roman" w:hAnsi="Times New Roman"/>
          <w:sz w:val="17"/>
          <w:szCs w:val="17"/>
          <w:color w:val="auto"/>
        </w:rPr>
        <w:t>.</w:t>
      </w:r>
    </w:p>
    <w:p>
      <w:pPr>
        <w:spacing w:after="0" w:line="187" w:lineRule="exact"/>
        <w:rPr>
          <w:rFonts w:ascii="Times New Roman" w:cs="Times New Roman" w:eastAsia="Times New Roman" w:hAnsi="Times New Roman"/>
          <w:sz w:val="20"/>
          <w:szCs w:val="20"/>
          <w:color w:val="auto"/>
        </w:rPr>
      </w:pPr>
    </w:p>
    <w:p>
      <w:pPr>
        <w:ind w:left="840" w:hanging="494"/>
        <w:spacing w:after="0" w:line="287" w:lineRule="auto"/>
        <w:tabs>
          <w:tab w:leader="none" w:pos="83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means the Company and each other related Entity whose employees or Service providers are determined by the Plan Administrator to be eligible to receive Awards under the Plan.</w:t>
      </w:r>
    </w:p>
    <w:p>
      <w:pPr>
        <w:spacing w:after="0" w:line="138" w:lineRule="exact"/>
        <w:rPr>
          <w:rFonts w:ascii="Times New Roman" w:cs="Times New Roman" w:eastAsia="Times New Roman" w:hAnsi="Times New Roman"/>
          <w:sz w:val="20"/>
          <w:szCs w:val="20"/>
          <w:color w:val="auto"/>
        </w:rPr>
      </w:pPr>
    </w:p>
    <w:p>
      <w:pPr>
        <w:ind w:left="820" w:hanging="474"/>
        <w:spacing w:after="0"/>
        <w:tabs>
          <w:tab w:leader="none" w:pos="82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Entity</w:t>
      </w:r>
      <w:r>
        <w:rPr>
          <w:rFonts w:ascii="Times New Roman" w:cs="Times New Roman" w:eastAsia="Times New Roman" w:hAnsi="Times New Roman"/>
          <w:sz w:val="20"/>
          <w:szCs w:val="20"/>
          <w:color w:val="auto"/>
        </w:rPr>
        <w:t>” means a corporation, partnership, limited liability company or other entity.</w:t>
      </w:r>
    </w:p>
    <w:p>
      <w:pPr>
        <w:spacing w:after="0" w:line="229" w:lineRule="exact"/>
        <w:rPr>
          <w:rFonts w:ascii="Times New Roman" w:cs="Times New Roman" w:eastAsia="Times New Roman" w:hAnsi="Times New Roman"/>
          <w:sz w:val="20"/>
          <w:szCs w:val="20"/>
          <w:color w:val="auto"/>
        </w:rPr>
      </w:pPr>
    </w:p>
    <w:p>
      <w:pPr>
        <w:ind w:left="840" w:hanging="494"/>
        <w:spacing w:after="0" w:line="273" w:lineRule="auto"/>
        <w:tabs>
          <w:tab w:leader="none" w:pos="83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 and the rules and regulations promulgated thereunder.</w:t>
      </w:r>
    </w:p>
    <w:p>
      <w:pPr>
        <w:spacing w:after="0" w:line="165" w:lineRule="exact"/>
        <w:rPr>
          <w:rFonts w:ascii="Times New Roman" w:cs="Times New Roman" w:eastAsia="Times New Roman" w:hAnsi="Times New Roman"/>
          <w:sz w:val="20"/>
          <w:szCs w:val="20"/>
          <w:color w:val="auto"/>
        </w:rPr>
      </w:pPr>
    </w:p>
    <w:p>
      <w:pPr>
        <w:jc w:val="both"/>
        <w:ind w:left="840" w:hanging="494"/>
        <w:spacing w:after="0" w:line="267" w:lineRule="auto"/>
        <w:tabs>
          <w:tab w:leader="none" w:pos="829"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 Person</w:t>
      </w:r>
      <w:r>
        <w:rPr>
          <w:rFonts w:ascii="Times New Roman" w:cs="Times New Roman" w:eastAsia="Times New Roman" w:hAnsi="Times New Roman"/>
          <w:sz w:val="19"/>
          <w:szCs w:val="19"/>
          <w:color w:val="auto"/>
        </w:rPr>
        <w:t>” means any natural person, Entity or “group” (within the meaning of Section 13(d) or 14(d) of the Exchange Act), except that “Exchange Act Person” will not include (i) the Company or any Subsidiary of the Company or any consolidated subsidiaries of the Company, (ii) any employee benefit plan of the Company or any Subsidiary of the Company or any consolidated subsidiaries of the Company or any trustee or other fiduciary holding securities under an employee benefit plan of the Company or any Subsidiary of the Company or any consolidated subsidiaries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w:t>
      </w:r>
    </w:p>
    <w:p>
      <w:pPr>
        <w:sectPr>
          <w:pgSz w:w="11900" w:h="16838" w:orient="portrait"/>
          <w:cols w:equalWidth="0" w:num="1">
            <w:col w:w="10120"/>
          </w:cols>
          <w:pgMar w:left="1440" w:top="1413" w:right="339" w:bottom="1440" w:gutter="0" w:footer="0" w:header="0"/>
        </w:sectPr>
      </w:pPr>
    </w:p>
    <w:bookmarkStart w:id="218" w:name="page219"/>
    <w:bookmarkEnd w:id="218"/>
    <w:p>
      <w:pPr>
        <w:ind w:left="840" w:right="20"/>
        <w:spacing w:after="0" w:line="283" w:lineRule="auto"/>
        <w:rPr>
          <w:sz w:val="20"/>
          <w:szCs w:val="20"/>
          <w:color w:val="auto"/>
        </w:rPr>
      </w:pPr>
      <w:r>
        <w:rPr>
          <w:rFonts w:ascii="Times New Roman" w:cs="Times New Roman" w:eastAsia="Times New Roman" w:hAnsi="Times New Roman"/>
          <w:sz w:val="20"/>
          <w:szCs w:val="20"/>
          <w:color w:val="auto"/>
        </w:rPr>
        <w:t>Owner, directly or indirectly, of securities of the Company representing more than 50% of the combined voting power of the Company’s then outstanding securities.</w:t>
      </w:r>
    </w:p>
    <w:p>
      <w:pPr>
        <w:spacing w:after="0" w:line="142" w:lineRule="exact"/>
        <w:rPr>
          <w:sz w:val="20"/>
          <w:szCs w:val="20"/>
          <w:color w:val="auto"/>
        </w:rPr>
      </w:pPr>
    </w:p>
    <w:p>
      <w:pPr>
        <w:jc w:val="both"/>
        <w:ind w:left="840" w:hanging="494"/>
        <w:spacing w:after="0" w:line="258" w:lineRule="auto"/>
        <w:tabs>
          <w:tab w:leader="none" w:pos="83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the closing sales price for a Share as quoted on the such exchange or market on which Shares are traded (or the exchange or market with the greatest volume of trading in the Shares) on the date of determination, as reported in a source the Plan Administrator deems reliable or, if there is no closing sales price for the Shares on the date of determination, then the Fair Market Value will be the closing selling price on the last preceding date for which such quotation exists.</w:t>
      </w:r>
    </w:p>
    <w:p>
      <w:pPr>
        <w:spacing w:after="0" w:line="167" w:lineRule="exact"/>
        <w:rPr>
          <w:rFonts w:ascii="Times New Roman" w:cs="Times New Roman" w:eastAsia="Times New Roman" w:hAnsi="Times New Roman"/>
          <w:sz w:val="18"/>
          <w:szCs w:val="18"/>
          <w:color w:val="auto"/>
        </w:rPr>
      </w:pPr>
    </w:p>
    <w:p>
      <w:pPr>
        <w:jc w:val="both"/>
        <w:ind w:left="840" w:hanging="494"/>
        <w:spacing w:after="0" w:line="252" w:lineRule="auto"/>
        <w:tabs>
          <w:tab w:leader="none" w:pos="82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(i) the Employer (or successor to the Employer) materially reduces a Participant’s annual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base salary, unless such reduction is pursuant to a general reduction in annual base salaries applicable to all similarly situated employees, (ii) Participant experiences a significant diminution of position, duties, responsibilities or status, or (iii) Participant is required to relocate to a location that exceeds a fifty (50) mile radius from Participant’s primary workplace; provided an event described in this Section 1.2(o) will not constitute Good Reason unless the Participant provides written notice to the Employer of the Participant’s intention to resign for Good Reason and specifying in reasonable detail the breach or action giving rise thereto within thirty (30) days of its initial existence and the Employer does not cure such breach or action within thirty (30) days after the date of the Participant’s notice and any such resignation must be effective no later than sixty-five (65) days following the initial occurrence he breach or action giving rise to Good Reason.</w:t>
      </w:r>
    </w:p>
    <w:p>
      <w:pPr>
        <w:spacing w:after="0" w:line="177" w:lineRule="exact"/>
        <w:rPr>
          <w:rFonts w:ascii="Times New Roman" w:cs="Times New Roman" w:eastAsia="Times New Roman" w:hAnsi="Times New Roman"/>
          <w:sz w:val="20"/>
          <w:szCs w:val="20"/>
          <w:color w:val="auto"/>
        </w:rPr>
      </w:pPr>
    </w:p>
    <w:p>
      <w:pPr>
        <w:jc w:val="both"/>
        <w:ind w:left="840" w:hanging="494"/>
        <w:spacing w:after="0" w:line="260" w:lineRule="auto"/>
        <w:tabs>
          <w:tab w:leader="none" w:pos="82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Own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Ownership</w:t>
      </w:r>
      <w:r>
        <w:rPr>
          <w:rFonts w:ascii="Times New Roman" w:cs="Times New Roman" w:eastAsia="Times New Roman" w:hAnsi="Times New Roman"/>
          <w:sz w:val="20"/>
          <w:szCs w:val="20"/>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4" w:lineRule="exact"/>
        <w:rPr>
          <w:rFonts w:ascii="Times New Roman" w:cs="Times New Roman" w:eastAsia="Times New Roman" w:hAnsi="Times New Roman"/>
          <w:sz w:val="20"/>
          <w:szCs w:val="20"/>
          <w:color w:val="auto"/>
        </w:rPr>
      </w:pPr>
    </w:p>
    <w:p>
      <w:pPr>
        <w:ind w:left="840" w:hanging="494"/>
        <w:spacing w:after="0"/>
        <w:tabs>
          <w:tab w:leader="none" w:pos="8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 individual who receives an Award under this Plan.</w:t>
      </w:r>
    </w:p>
    <w:p>
      <w:pPr>
        <w:spacing w:after="0" w:line="229" w:lineRule="exact"/>
        <w:rPr>
          <w:rFonts w:ascii="Times New Roman" w:cs="Times New Roman" w:eastAsia="Times New Roman" w:hAnsi="Times New Roman"/>
          <w:sz w:val="20"/>
          <w:szCs w:val="20"/>
          <w:color w:val="auto"/>
        </w:rPr>
      </w:pPr>
    </w:p>
    <w:p>
      <w:pPr>
        <w:ind w:left="860" w:hanging="514"/>
        <w:spacing w:after="0"/>
        <w:tabs>
          <w:tab w:leader="none" w:pos="86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 Administrator</w:t>
      </w:r>
      <w:r>
        <w:rPr>
          <w:rFonts w:ascii="Times New Roman" w:cs="Times New Roman" w:eastAsia="Times New Roman" w:hAnsi="Times New Roman"/>
          <w:sz w:val="20"/>
          <w:szCs w:val="20"/>
          <w:color w:val="auto"/>
        </w:rPr>
        <w:t>” means the Chief Human Resources Officer of the Company.</w:t>
      </w:r>
    </w:p>
    <w:p>
      <w:pPr>
        <w:spacing w:after="0" w:line="229" w:lineRule="exact"/>
        <w:rPr>
          <w:rFonts w:ascii="Times New Roman" w:cs="Times New Roman" w:eastAsia="Times New Roman" w:hAnsi="Times New Roman"/>
          <w:sz w:val="20"/>
          <w:szCs w:val="20"/>
          <w:color w:val="auto"/>
        </w:rPr>
      </w:pPr>
    </w:p>
    <w:p>
      <w:pPr>
        <w:jc w:val="both"/>
        <w:ind w:left="860" w:hanging="514"/>
        <w:spacing w:after="0" w:line="255" w:lineRule="auto"/>
        <w:tabs>
          <w:tab w:leader="none" w:pos="85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Retirement</w:t>
      </w:r>
      <w:r>
        <w:rPr>
          <w:rFonts w:ascii="Times New Roman" w:cs="Times New Roman" w:eastAsia="Times New Roman" w:hAnsi="Times New Roman"/>
          <w:sz w:val="20"/>
          <w:szCs w:val="20"/>
          <w:color w:val="auto"/>
        </w:rPr>
        <w:t>” means Participant’s termination of employment on or after attaining age 50 and having been employed for at least fifteen (15) years as a result of resignation or involuntary resignation other than for Cause at a time when the sum of Participant’s age and the number or Participant’s years of employment with the Employer or an Affiliate is at least sixty-five (65).</w:t>
      </w:r>
    </w:p>
    <w:p>
      <w:pPr>
        <w:spacing w:after="0" w:line="183" w:lineRule="exact"/>
        <w:rPr>
          <w:rFonts w:ascii="Times New Roman" w:cs="Times New Roman" w:eastAsia="Times New Roman" w:hAnsi="Times New Roman"/>
          <w:sz w:val="20"/>
          <w:szCs w:val="20"/>
          <w:color w:val="auto"/>
        </w:rPr>
      </w:pPr>
    </w:p>
    <w:p>
      <w:pPr>
        <w:ind w:left="860" w:hanging="514"/>
        <w:spacing w:after="0" w:line="287" w:lineRule="auto"/>
        <w:tabs>
          <w:tab w:leader="none" w:pos="84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Section 16 Officer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 person who is an officer of StepStone Group, Inc within the meaning of Section 16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Securities Exchange Act of 1934, as amended, and the rules and regulations promulgated thereunder.</w:t>
      </w:r>
    </w:p>
    <w:p>
      <w:pPr>
        <w:sectPr>
          <w:pgSz w:w="11900" w:h="16838" w:orient="portrait"/>
          <w:cols w:equalWidth="0" w:num="1">
            <w:col w:w="10120"/>
          </w:cols>
          <w:pgMar w:left="1440" w:top="1413" w:right="339" w:bottom="1440" w:gutter="0" w:footer="0" w:header="0"/>
        </w:sectPr>
      </w:pPr>
    </w:p>
    <w:bookmarkStart w:id="219" w:name="page220"/>
    <w:bookmarkEnd w:id="219"/>
    <w:p>
      <w:pPr>
        <w:jc w:val="both"/>
        <w:ind w:left="1980" w:hanging="514"/>
        <w:spacing w:after="0" w:line="251" w:lineRule="auto"/>
        <w:tabs>
          <w:tab w:leader="none" w:pos="197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Service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 Participant’s employment or service with the Employer or an Affiliate whether in the capacity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employee, officer, director, advisor, consultant, or unitholder. A Participant’s Service shall not be deemed to have terminated merely because of a change in the capacity in which the Participant renders such Service or a transfer between entities (the Employer and any Affiliate), provided that there is no interruption or termination of the Participant’s Service. Furthermore, a Participant’s Service shall not be deemed to have terminated if the Participant takes any military leave, sick leave, or other bona fide leave of absence approved by the Employer. A Participant’s Service shall be deemed to have terminated either upon an actual termination of Service with the Employer or when the entity for which the Participant performs Service ceases to be an Affiliate or at such later date as may be required by applicable law. Subject to the foregoing, the Plan Administrator, in its discretion, shall determine whether the Participant’s Service has terminated and the effective date of such termination.</w:t>
      </w:r>
    </w:p>
    <w:p>
      <w:pPr>
        <w:spacing w:after="0" w:line="186" w:lineRule="exact"/>
        <w:rPr>
          <w:rFonts w:ascii="Times New Roman" w:cs="Times New Roman" w:eastAsia="Times New Roman" w:hAnsi="Times New Roman"/>
          <w:sz w:val="20"/>
          <w:szCs w:val="20"/>
          <w:color w:val="auto"/>
        </w:rPr>
      </w:pPr>
    </w:p>
    <w:p>
      <w:pPr>
        <w:jc w:val="both"/>
        <w:ind w:left="1980" w:hanging="514"/>
        <w:spacing w:after="0" w:line="263" w:lineRule="auto"/>
        <w:tabs>
          <w:tab w:leader="none" w:pos="197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 share of StepStone Private Infrastructure Fund (STRUX) or a share of StepStone Private Markets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Fund (SPRIM) Class I Shares as determined by the Plan Administrator (or with respect to Awards granted to Section 16 Officers, the Compensation Committee) and set forth in an Award Agreement.</w:t>
      </w:r>
    </w:p>
    <w:p>
      <w:pPr>
        <w:spacing w:after="0" w:line="175" w:lineRule="exact"/>
        <w:rPr>
          <w:rFonts w:ascii="Times New Roman" w:cs="Times New Roman" w:eastAsia="Times New Roman" w:hAnsi="Times New Roman"/>
          <w:sz w:val="20"/>
          <w:szCs w:val="20"/>
          <w:color w:val="auto"/>
        </w:rPr>
      </w:pPr>
    </w:p>
    <w:p>
      <w:pPr>
        <w:ind w:left="1980" w:right="20" w:hanging="514"/>
        <w:spacing w:after="0" w:line="273" w:lineRule="auto"/>
        <w:tabs>
          <w:tab w:leader="none" w:pos="197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Share Unit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the right to receive a Share or cash equal to the Fair Market Value of a Share as set forth in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and any Award Agreement.</w:t>
      </w:r>
    </w:p>
    <w:p>
      <w:pPr>
        <w:spacing w:after="0" w:line="165" w:lineRule="exact"/>
        <w:rPr>
          <w:rFonts w:ascii="Times New Roman" w:cs="Times New Roman" w:eastAsia="Times New Roman" w:hAnsi="Times New Roman"/>
          <w:sz w:val="20"/>
          <w:szCs w:val="20"/>
          <w:color w:val="auto"/>
        </w:rPr>
      </w:pPr>
    </w:p>
    <w:p>
      <w:pPr>
        <w:jc w:val="both"/>
        <w:ind w:left="1980" w:hanging="514"/>
        <w:spacing w:after="0" w:line="254" w:lineRule="auto"/>
        <w:tabs>
          <w:tab w:leader="none" w:pos="197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3"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ELIGIBILITY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General Rule</w:t>
      </w:r>
      <w:r>
        <w:rPr>
          <w:rFonts w:ascii="Times New Roman" w:cs="Times New Roman" w:eastAsia="Times New Roman" w:hAnsi="Times New Roman"/>
          <w:sz w:val="19"/>
          <w:szCs w:val="19"/>
          <w:color w:val="auto"/>
        </w:rPr>
        <w:t>. Awards may be granted to employees or other Service providers of an Employer.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Number of Awards</w:t>
      </w:r>
      <w:r>
        <w:rPr>
          <w:rFonts w:ascii="Times New Roman" w:cs="Times New Roman" w:eastAsia="Times New Roman" w:hAnsi="Times New Roman"/>
          <w:sz w:val="20"/>
          <w:szCs w:val="20"/>
          <w:color w:val="auto"/>
        </w:rPr>
        <w:t>. A Participant may be granted more than one Award under this Plan. However, the Plan is discretionary in nature, and the grant of Awards is voluntary and occasional. The selection of a person to receive an Award in any year or at any time shall not require the Plan Administrator or Compensation Committee to select such person to receive an Award or type of Award in any other year or at any other time.</w:t>
      </w:r>
    </w:p>
    <w:p>
      <w:pPr>
        <w:spacing w:after="0" w:line="183"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ADMINISTRATION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Plan Administrator</w:t>
      </w:r>
      <w:r>
        <w:rPr>
          <w:rFonts w:ascii="Times New Roman" w:cs="Times New Roman" w:eastAsia="Times New Roman" w:hAnsi="Times New Roman"/>
          <w:sz w:val="20"/>
          <w:szCs w:val="20"/>
          <w:color w:val="auto"/>
        </w:rPr>
        <w:t>. This Plan shall be administered by the Plan Administrator. In its absolute discretion, the Plan Administrator may at any time and from time to time exercise any and all rights and duties of the Plan Administrator. Subject to the general purposes, terms and conditions of this</w:t>
      </w:r>
    </w:p>
    <w:p>
      <w:pPr>
        <w:sectPr>
          <w:pgSz w:w="11900" w:h="16838" w:orient="portrait"/>
          <w:cols w:equalWidth="0" w:num="1">
            <w:col w:w="11240"/>
          </w:cols>
          <w:pgMar w:left="320" w:top="1409" w:right="339" w:bottom="1440" w:gutter="0" w:footer="0" w:header="0"/>
        </w:sectPr>
      </w:pPr>
    </w:p>
    <w:bookmarkStart w:id="220" w:name="page221"/>
    <w:bookmarkEnd w:id="220"/>
    <w:p>
      <w:pPr>
        <w:spacing w:after="0" w:line="283" w:lineRule="auto"/>
        <w:rPr>
          <w:sz w:val="20"/>
          <w:szCs w:val="20"/>
          <w:color w:val="auto"/>
        </w:rPr>
      </w:pPr>
      <w:r>
        <w:rPr>
          <w:rFonts w:ascii="Times New Roman" w:cs="Times New Roman" w:eastAsia="Times New Roman" w:hAnsi="Times New Roman"/>
          <w:sz w:val="20"/>
          <w:szCs w:val="20"/>
          <w:color w:val="auto"/>
        </w:rPr>
        <w:t>Plan, the Plan Administrator shall have full power to implement and carry out this Plan. Without limitation, the Plan Administrator (or with respect to Awards granted to Section 16 Officers, the Compensation Committee) shall have the authority to:</w:t>
      </w:r>
    </w:p>
    <w:p>
      <w:pPr>
        <w:spacing w:after="0" w:line="146" w:lineRule="exact"/>
        <w:rPr>
          <w:sz w:val="20"/>
          <w:szCs w:val="20"/>
          <w:color w:val="auto"/>
        </w:rPr>
      </w:pPr>
    </w:p>
    <w:p>
      <w:pPr>
        <w:ind w:left="1960" w:hanging="494"/>
        <w:spacing w:after="0" w:line="283" w:lineRule="auto"/>
        <w:tabs>
          <w:tab w:leader="none" w:pos="195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construe and interpret this Plan, any Award Agreement and any other agreement or document executed pursuant to this Plan;</w:t>
      </w:r>
    </w:p>
    <w:p>
      <w:pPr>
        <w:spacing w:after="0" w:line="146"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 amend and rescind rules and regulations relating to this Plan;</w:t>
      </w:r>
    </w:p>
    <w:p>
      <w:pPr>
        <w:spacing w:after="0" w:line="229"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form and terms of Awards;</w:t>
      </w:r>
    </w:p>
    <w:p>
      <w:pPr>
        <w:spacing w:after="0" w:line="229"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waivers of any conditions of this Plan or any Award;</w:t>
      </w:r>
    </w:p>
    <w:p>
      <w:pPr>
        <w:spacing w:after="0" w:line="215"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terms of vesting and payment of Awards;</w:t>
      </w:r>
    </w:p>
    <w:p>
      <w:pPr>
        <w:spacing w:after="0" w:line="229" w:lineRule="exact"/>
        <w:rPr>
          <w:rFonts w:ascii="Times New Roman" w:cs="Times New Roman" w:eastAsia="Times New Roman" w:hAnsi="Times New Roman"/>
          <w:sz w:val="20"/>
          <w:szCs w:val="20"/>
          <w:color w:val="auto"/>
        </w:rPr>
      </w:pPr>
    </w:p>
    <w:p>
      <w:pPr>
        <w:ind w:left="1960" w:hanging="494"/>
        <w:spacing w:after="0" w:line="269" w:lineRule="auto"/>
        <w:tabs>
          <w:tab w:leader="none" w:pos="195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any defect, supply any omission, or reconcile any inconsistency in this Plan, any Award or any Award Agreement;</w:t>
      </w:r>
    </w:p>
    <w:p>
      <w:pPr>
        <w:spacing w:after="0" w:line="172"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an Award has been earned or vested;</w:t>
      </w:r>
    </w:p>
    <w:p>
      <w:pPr>
        <w:spacing w:after="0" w:line="229" w:lineRule="exact"/>
        <w:rPr>
          <w:rFonts w:ascii="Times New Roman" w:cs="Times New Roman" w:eastAsia="Times New Roman" w:hAnsi="Times New Roman"/>
          <w:sz w:val="20"/>
          <w:szCs w:val="20"/>
          <w:color w:val="auto"/>
        </w:rPr>
      </w:pPr>
    </w:p>
    <w:p>
      <w:pPr>
        <w:ind w:left="1960" w:hanging="494"/>
        <w:spacing w:after="0" w:line="269" w:lineRule="auto"/>
        <w:tabs>
          <w:tab w:leader="none" w:pos="194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vesting or settlement of any Award to the extent such acceleration of vesting or settlement would not result in a violation of Code Section 409A; and</w:t>
      </w:r>
    </w:p>
    <w:p>
      <w:pPr>
        <w:spacing w:after="0" w:line="172"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other determinations necessary or advisable for the administration of this Plan.</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Authority to Grant Awards</w:t>
      </w:r>
      <w:r>
        <w:rPr>
          <w:rFonts w:ascii="Times New Roman" w:cs="Times New Roman" w:eastAsia="Times New Roman" w:hAnsi="Times New Roman"/>
          <w:sz w:val="20"/>
          <w:szCs w:val="20"/>
          <w:color w:val="auto"/>
        </w:rPr>
        <w:t>. Notwithstanding Section 3.1, unless otherwise delegated in writing by the Plan Administrator, the Plan Administrator shall have the sole authority to approve persons to receive Awards and determine the number of Shares Units designated under such to Awards; provided, however, only the Compensation Committee may approve Awards and determine the number of Shares Units designated under such to Awards with respect to any Section 16 Officer.</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Plan Administrator Discretion</w:t>
      </w:r>
      <w:r>
        <w:rPr>
          <w:rFonts w:ascii="Times New Roman" w:cs="Times New Roman" w:eastAsia="Times New Roman" w:hAnsi="Times New Roman"/>
          <w:sz w:val="20"/>
          <w:szCs w:val="20"/>
          <w:color w:val="auto"/>
        </w:rPr>
        <w:t>. Unless in contravention of any express terms of this Plan or Award, any determination made by the Plan Administrator or Compensation Committee with respect to any Award will be made in its sole discretion either (a) at the time of grant of the Award, or (b) at any later time. Any such determination will be final and binding on the Employer and on all persons having an interest in any Award under this Plan.</w:t>
      </w:r>
    </w:p>
    <w:p>
      <w:pPr>
        <w:spacing w:after="0" w:line="183"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AWARDS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Awards shall be subject to the following terms and conditions and shall contain such additional terms and conditions, not inconsistent with the terms of this Plan, as the Plan Administrator shall deem advisable.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Award Grants</w:t>
      </w:r>
      <w:r>
        <w:rPr>
          <w:rFonts w:ascii="Times New Roman" w:cs="Times New Roman" w:eastAsia="Times New Roman" w:hAnsi="Times New Roman"/>
          <w:sz w:val="20"/>
          <w:szCs w:val="20"/>
          <w:color w:val="auto"/>
        </w:rPr>
        <w:t>. The Plan Administrator (or with respect to Awards granted to Section 16 Officers, the Compensation Committee) may grant Awards to eligible persons described in Section 2 hereof, and will determine the number of Shares Units subject to the Award and all other terms and conditions of the Award, subject to the following:</w:t>
      </w:r>
    </w:p>
    <w:p>
      <w:pPr>
        <w:spacing w:after="0" w:line="181" w:lineRule="exact"/>
        <w:rPr>
          <w:sz w:val="20"/>
          <w:szCs w:val="20"/>
          <w:color w:val="auto"/>
        </w:rPr>
      </w:pPr>
    </w:p>
    <w:p>
      <w:pPr>
        <w:ind w:left="1960" w:hanging="494"/>
        <w:spacing w:after="0" w:line="269" w:lineRule="auto"/>
        <w:tabs>
          <w:tab w:leader="none" w:pos="195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of Award</w:t>
      </w:r>
      <w:r>
        <w:rPr>
          <w:rFonts w:ascii="Times New Roman" w:cs="Times New Roman" w:eastAsia="Times New Roman" w:hAnsi="Times New Roman"/>
          <w:sz w:val="20"/>
          <w:szCs w:val="20"/>
          <w:color w:val="auto"/>
        </w:rPr>
        <w:t>. Each Award granted under this Plan will be evidenced by an Award Agreement and will be in such form and contain such provisions (which</w:t>
      </w:r>
    </w:p>
    <w:p>
      <w:pPr>
        <w:sectPr>
          <w:pgSz w:w="11900" w:h="16838" w:orient="portrait"/>
          <w:cols w:equalWidth="0" w:num="1">
            <w:col w:w="11240"/>
          </w:cols>
          <w:pgMar w:left="320" w:top="1413" w:right="339" w:bottom="1440" w:gutter="0" w:footer="0" w:header="0"/>
        </w:sectPr>
      </w:pPr>
    </w:p>
    <w:bookmarkStart w:id="221" w:name="page222"/>
    <w:bookmarkEnd w:id="221"/>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need not be the same for each Participant) as the Plan Administrator (or with respect to Awards granted to Section 16 Officers, the Compensation Committee) may from time to time approve, and which will comply with and be subject to the terms and conditions of this Plan.</w:t>
      </w:r>
    </w:p>
    <w:p>
      <w:pPr>
        <w:spacing w:after="0" w:line="181" w:lineRule="exact"/>
        <w:rPr>
          <w:sz w:val="20"/>
          <w:szCs w:val="20"/>
          <w:color w:val="auto"/>
        </w:rPr>
      </w:pPr>
    </w:p>
    <w:p>
      <w:pPr>
        <w:jc w:val="both"/>
        <w:ind w:left="1960" w:hanging="494"/>
        <w:spacing w:after="0" w:line="258" w:lineRule="auto"/>
        <w:tabs>
          <w:tab w:leader="none" w:pos="194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The date of grant of an Award will be the date on which the Plan Administrator makes the determination to grant such Award, unless a later date is otherwise specified by the Plan Administrator (or with respect to Awards granted to Section 16 Officers, the Compensation Committee). The Award Agreement will be delivered to the Participant within a reasonable time after the granting of the Award.</w:t>
      </w:r>
    </w:p>
    <w:p>
      <w:pPr>
        <w:spacing w:after="0" w:line="172" w:lineRule="exact"/>
        <w:rPr>
          <w:rFonts w:ascii="Times New Roman" w:cs="Times New Roman" w:eastAsia="Times New Roman" w:hAnsi="Times New Roman"/>
          <w:sz w:val="20"/>
          <w:szCs w:val="20"/>
          <w:color w:val="auto"/>
        </w:rPr>
      </w:pPr>
    </w:p>
    <w:p>
      <w:pPr>
        <w:jc w:val="both"/>
        <w:ind w:left="1960" w:hanging="494"/>
        <w:spacing w:after="0" w:line="261" w:lineRule="auto"/>
        <w:tabs>
          <w:tab w:leader="none" w:pos="195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Period</w:t>
      </w:r>
      <w:r>
        <w:rPr>
          <w:rFonts w:ascii="Times New Roman" w:cs="Times New Roman" w:eastAsia="Times New Roman" w:hAnsi="Times New Roman"/>
          <w:sz w:val="20"/>
          <w:szCs w:val="20"/>
          <w:color w:val="auto"/>
        </w:rPr>
        <w:t>. Awards may vest within the times or upon the events determined by the Plan Administrator (or with respect to Awards granted to Section 16 Officers, the Compensation Committee) as set forth in the Award Agreement governing such Award.</w:t>
      </w:r>
    </w:p>
    <w:p>
      <w:pPr>
        <w:spacing w:after="0" w:line="181" w:lineRule="exact"/>
        <w:rPr>
          <w:rFonts w:ascii="Times New Roman" w:cs="Times New Roman" w:eastAsia="Times New Roman" w:hAnsi="Times New Roman"/>
          <w:sz w:val="20"/>
          <w:szCs w:val="20"/>
          <w:color w:val="auto"/>
        </w:rPr>
      </w:pPr>
    </w:p>
    <w:p>
      <w:pPr>
        <w:jc w:val="both"/>
        <w:ind w:left="1960" w:hanging="494"/>
        <w:spacing w:after="0" w:line="253" w:lineRule="auto"/>
        <w:tabs>
          <w:tab w:leader="none" w:pos="194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Awards</w:t>
      </w:r>
      <w:r>
        <w:rPr>
          <w:rFonts w:ascii="Times New Roman" w:cs="Times New Roman" w:eastAsia="Times New Roman" w:hAnsi="Times New Roman"/>
          <w:sz w:val="20"/>
          <w:szCs w:val="20"/>
          <w:color w:val="auto"/>
        </w:rPr>
        <w:t>. Awards will be settled in Shares (as determined under the Award Agreement) or cash equal to the Fair Market Value of a Share (or a combination thereof) determined on the date the Award, or portion thereof, vests, multiplied by the number of Shares Units with respect to which the Award has vested within sixty (60)following the date on which such Award, or portion thereof, vests in accordance with the vesting schedule set forth in the Award Agreement.</w:t>
      </w:r>
    </w:p>
    <w:p>
      <w:pPr>
        <w:spacing w:after="0" w:line="19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Unless otherwise specifically provided in an Award Agreement, settlement of an Award will be subject to the following:</w:t>
      </w:r>
    </w:p>
    <w:p>
      <w:pPr>
        <w:spacing w:after="0" w:line="146" w:lineRule="exact"/>
        <w:rPr>
          <w:sz w:val="20"/>
          <w:szCs w:val="20"/>
          <w:color w:val="auto"/>
        </w:rPr>
      </w:pPr>
    </w:p>
    <w:p>
      <w:pPr>
        <w:ind w:left="1960" w:hanging="494"/>
        <w:spacing w:after="0" w:line="283" w:lineRule="auto"/>
        <w:tabs>
          <w:tab w:leader="none" w:pos="195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Sections 4.2(b)-(f), if a Participant’s Service terminates for any reason, then all unvested Awards, or unvested portion thereof, shall expire and be immediately cancelled for no consideration.</w:t>
      </w:r>
    </w:p>
    <w:p>
      <w:pPr>
        <w:spacing w:after="0" w:line="146" w:lineRule="exact"/>
        <w:rPr>
          <w:rFonts w:ascii="Times New Roman" w:cs="Times New Roman" w:eastAsia="Times New Roman" w:hAnsi="Times New Roman"/>
          <w:sz w:val="20"/>
          <w:szCs w:val="20"/>
          <w:color w:val="auto"/>
        </w:rPr>
      </w:pPr>
    </w:p>
    <w:p>
      <w:pPr>
        <w:jc w:val="both"/>
        <w:ind w:left="1960" w:hanging="494"/>
        <w:spacing w:after="0" w:line="261" w:lineRule="auto"/>
        <w:tabs>
          <w:tab w:leader="none" w:pos="194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Participant's termination of Service as a result of the Participant's Disability, then all unvested Awards, or unvested portion thereof, shall vest in full and the amount payable with respect to a vested Award shall be payable to the Participant in accordance with Section 4.1(d).</w:t>
      </w:r>
    </w:p>
    <w:p>
      <w:pPr>
        <w:spacing w:after="0" w:line="181" w:lineRule="exact"/>
        <w:rPr>
          <w:rFonts w:ascii="Times New Roman" w:cs="Times New Roman" w:eastAsia="Times New Roman" w:hAnsi="Times New Roman"/>
          <w:sz w:val="20"/>
          <w:szCs w:val="20"/>
          <w:color w:val="auto"/>
        </w:rPr>
      </w:pPr>
    </w:p>
    <w:p>
      <w:pPr>
        <w:jc w:val="both"/>
        <w:ind w:left="1960" w:hanging="494"/>
        <w:spacing w:after="0" w:line="258" w:lineRule="auto"/>
        <w:tabs>
          <w:tab w:leader="none" w:pos="195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Participant's termination of Service as a result of death, then all unvested Awards, or unvested portion thereof, shall vest in full and the amount payable with respect to a vested Award shall be payable to the Participant's spouse if the Participant was legally married at the time of the Participant's death, otherwise such amount shall be paid to the Participant's estate in accordance with Section 4.1(d).</w:t>
      </w:r>
    </w:p>
    <w:p>
      <w:pPr>
        <w:spacing w:after="0" w:line="172" w:lineRule="exact"/>
        <w:rPr>
          <w:rFonts w:ascii="Times New Roman" w:cs="Times New Roman" w:eastAsia="Times New Roman" w:hAnsi="Times New Roman"/>
          <w:sz w:val="20"/>
          <w:szCs w:val="20"/>
          <w:color w:val="auto"/>
        </w:rPr>
      </w:pPr>
    </w:p>
    <w:p>
      <w:pPr>
        <w:jc w:val="both"/>
        <w:ind w:left="1960" w:hanging="494"/>
        <w:spacing w:after="0" w:line="276" w:lineRule="auto"/>
        <w:tabs>
          <w:tab w:leader="none" w:pos="1948"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 Participant’s termination of Service as a result of termination by the Employer without Cause or resignation by the Participant due to Good Reason, in either case, upon or within the thirteen (13) month period following a Change in Control, then all unvested Awards, or unvested portion thereof, shall vest in full and the amount payable with respect to a vested Award shall be payable to the Participant in accordance with Section 4.1(d).</w:t>
      </w:r>
    </w:p>
    <w:p>
      <w:pPr>
        <w:sectPr>
          <w:pgSz w:w="11900" w:h="16838" w:orient="portrait"/>
          <w:cols w:equalWidth="0" w:num="1">
            <w:col w:w="11240"/>
          </w:cols>
          <w:pgMar w:left="320" w:top="1413" w:right="339" w:bottom="1440" w:gutter="0" w:footer="0" w:header="0"/>
        </w:sectPr>
      </w:pPr>
    </w:p>
    <w:bookmarkStart w:id="222" w:name="page223"/>
    <w:bookmarkEnd w:id="222"/>
    <w:p>
      <w:pPr>
        <w:jc w:val="both"/>
        <w:ind w:left="1960" w:hanging="494"/>
        <w:spacing w:after="0" w:line="258" w:lineRule="auto"/>
        <w:tabs>
          <w:tab w:leader="none" w:pos="195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Participant's termination of Service as a result of Retirement, then notwithstanding Section 4.1(d), all then unsettled Awards, or portions thereof, shall be settled within sixty (60) days following the date on which such Award, or portion thereof, would have vested had such Participant not been eligible for a Retirement termination and had instead continued to provide Services through the applicable vesting date(s).</w:t>
      </w:r>
    </w:p>
    <w:p>
      <w:pPr>
        <w:spacing w:after="0" w:line="172" w:lineRule="exact"/>
        <w:rPr>
          <w:rFonts w:ascii="Times New Roman" w:cs="Times New Roman" w:eastAsia="Times New Roman" w:hAnsi="Times New Roman"/>
          <w:sz w:val="20"/>
          <w:szCs w:val="20"/>
          <w:color w:val="auto"/>
        </w:rPr>
      </w:pPr>
    </w:p>
    <w:p>
      <w:pPr>
        <w:jc w:val="both"/>
        <w:ind w:left="1960" w:hanging="494"/>
        <w:spacing w:after="0" w:line="268" w:lineRule="auto"/>
        <w:tabs>
          <w:tab w:leader="none" w:pos="195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Participant's Service is terminated for Cause, then all the Participant’s then unsettled Awards (whether vested or unvested) shall expire and be immediately cancelled for no consideration on such Participant’s date of termination of Service.</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Modification, Extension or Renewal</w:t>
      </w:r>
      <w:r>
        <w:rPr>
          <w:rFonts w:ascii="Times New Roman" w:cs="Times New Roman" w:eastAsia="Times New Roman" w:hAnsi="Times New Roman"/>
          <w:sz w:val="20"/>
          <w:szCs w:val="20"/>
          <w:color w:val="auto"/>
        </w:rPr>
        <w:t>. The Plan Administrator may modify, extend or renew outstanding Awards and authorize the grant of new Awards in substitution therefor, provided that any such action may not, without the written consent of a Participant, impair any of such Participant’s rights under any Awards previously granted, and shall be subject to compliance with Section 409A of the Code.</w:t>
      </w: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20"/>
          <w:szCs w:val="20"/>
          <w:b w:val="1"/>
          <w:bCs w:val="1"/>
          <w:color w:val="auto"/>
        </w:rPr>
        <w:t>SECTION 5. WITHHOLDING TAXES</w:t>
      </w:r>
      <w:r>
        <w:rPr>
          <w:rFonts w:ascii="Times New Roman" w:cs="Times New Roman" w:eastAsia="Times New Roman" w:hAnsi="Times New Roman"/>
          <w:sz w:val="20"/>
          <w:szCs w:val="20"/>
          <w:color w:val="auto"/>
        </w:rPr>
        <w:t>. The Employer may, in its sole discretion, satisfy any national, state, local or other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 obligation relating to an Award by any of the following means or by a combination of such means: (i) causing the Participant to tender a cash payment; (ii) withholding Shares otherwise deliverable to the Participant in connection with the Award; (iii) withholding cash from an Award settled in cash; or (iv) by such other method as may be set forth in the Award Agreement.</w:t>
      </w:r>
    </w:p>
    <w:p>
      <w:pPr>
        <w:spacing w:after="0" w:line="184"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6. TRANSFERABILITY. </w:t>
      </w:r>
      <w:r>
        <w:rPr>
          <w:rFonts w:ascii="Times New Roman" w:cs="Times New Roman" w:eastAsia="Times New Roman" w:hAnsi="Times New Roman"/>
          <w:sz w:val="20"/>
          <w:szCs w:val="20"/>
          <w:color w:val="auto"/>
        </w:rPr>
        <w:t>The Awards granted under this Plan, and any interest therein, shall not be sold, pledged,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assigned, hypothecated, transferred, or disposed of in any manner, other than by will or by the laws of descent and distribution, and may not be made subject to execution, attachment or similar process.</w:t>
      </w:r>
    </w:p>
    <w:p>
      <w:pPr>
        <w:spacing w:after="0" w:line="17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7. SECURITIES LAW AND OTHER REGULATORY COMPLIANCE. </w:t>
      </w:r>
      <w:r>
        <w:rPr>
          <w:rFonts w:ascii="Times New Roman" w:cs="Times New Roman" w:eastAsia="Times New Roman" w:hAnsi="Times New Roman"/>
          <w:sz w:val="20"/>
          <w:szCs w:val="20"/>
          <w:color w:val="auto"/>
        </w:rPr>
        <w:t>An Award will not be effective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Award is in compliance with all applicable federal and state securities laws, rules and regulations of any governmental body, as they are in effect on the date of grant of the Award and also on the date of settlement. Notwithstanding any other provision in this Plan, the Employer will have no obligation to permit settlement of an Award prior to (i) obtaining any approvals from governmental agencies that the Company determines are necessary or advisable, and/or (ii) compliance with any exemption, completion of any registration or other qualification of the Awards or underlying Units under any state or federal law or ruling of any governmental body that the Company determines to be necessary or advisable. The Employer will be under no obligation to register the Awards with any governmental authority or to effect compliance with the exemption, registration, qualification, or listing requirements of any state securities laws, stock exchange or automated quotation system, and the Employer will have no liability for any inability or failure to do so.</w:t>
      </w:r>
    </w:p>
    <w:p>
      <w:pPr>
        <w:spacing w:after="0" w:line="19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8. NO OBLIGATION TO EMPLOY. </w:t>
      </w:r>
      <w:r>
        <w:rPr>
          <w:rFonts w:ascii="Times New Roman" w:cs="Times New Roman" w:eastAsia="Times New Roman" w:hAnsi="Times New Roman"/>
          <w:sz w:val="20"/>
          <w:szCs w:val="20"/>
          <w:color w:val="auto"/>
        </w:rPr>
        <w:t>Nothing in this Plan or any Award granted under this Plan will confer or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confer on any Participant any right to continue in the Service of, or to continue any other relationship with, the Employer or any Affiliate or limit in any way the right of the Employer or any Affiliate to terminate Participant’s employment or other Service relationship at any time, with or without Cause.</w:t>
      </w:r>
    </w:p>
    <w:p>
      <w:pPr>
        <w:sectPr>
          <w:pgSz w:w="11900" w:h="16838" w:orient="portrait"/>
          <w:cols w:equalWidth="0" w:num="1">
            <w:col w:w="11240"/>
          </w:cols>
          <w:pgMar w:left="320" w:top="1413" w:right="339" w:bottom="1440" w:gutter="0" w:footer="0" w:header="0"/>
        </w:sectPr>
      </w:pPr>
    </w:p>
    <w:bookmarkStart w:id="223" w:name="page224"/>
    <w:bookmarkEnd w:id="223"/>
    <w:p>
      <w:pPr>
        <w:jc w:val="both"/>
        <w:ind w:firstLine="324"/>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9. ADJUSTMENT AND SUBSTITUTION. </w:t>
      </w:r>
      <w:r>
        <w:rPr>
          <w:rFonts w:ascii="Times New Roman" w:cs="Times New Roman" w:eastAsia="Times New Roman" w:hAnsi="Times New Roman"/>
          <w:sz w:val="20"/>
          <w:szCs w:val="20"/>
          <w:color w:val="auto"/>
        </w:rPr>
        <w:t>In the event of any dividend or other distribution (whether in the form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cash, shares, other securities, or other property), recapitalization, Share split, reverse Share split, reorganization, merger, consolidation, split-up, spin-off, combination, repurchase, or exchange of Shares, or other change in the corporate structure of the fund issuing the relevant Share affecting the Shares that the Plan Administrator, in its sole discretion, determines could result in substantial dilution or enlargement of the benefits or potential benefits intended to be made available under the Plan, the Plan Administrator may adjust the number, class, and price of Shares covered by each outstanding Award as determined by the Plan Administrator it its sole discretion. The decision of the Plan Administrator regarding any such adjustment shall be final, binding, and conclusive.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SECTION 10. INCAPACITY. </w:t>
      </w:r>
      <w:r>
        <w:rPr>
          <w:rFonts w:ascii="Times New Roman" w:cs="Times New Roman" w:eastAsia="Times New Roman" w:hAnsi="Times New Roman"/>
          <w:sz w:val="20"/>
          <w:szCs w:val="20"/>
          <w:color w:val="auto"/>
        </w:rPr>
        <w:t>If, in the judgment of the Plan Administrator, any person entitled to a payment under the Plan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legally, physically, or mentally incapable of personally receiving and executing a receipt for any such payment, or if such person is a minor under state or other applicable law, the distribution or payment may be made to a guardian, custodian, or other legal representative of such person or such person’s property (or if none is known to the Employer, to any other person or institution who has custody of the person or his or her property) and that payment shall constitute a full discharge of any obligation with respect to the amount paid.</w:t>
      </w:r>
    </w:p>
    <w:p>
      <w:pPr>
        <w:spacing w:after="0" w:line="168"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 xml:space="preserve">ADOPTION. </w:t>
      </w:r>
      <w:r>
        <w:rPr>
          <w:rFonts w:ascii="Times New Roman" w:cs="Times New Roman" w:eastAsia="Times New Roman" w:hAnsi="Times New Roman"/>
          <w:sz w:val="19"/>
          <w:szCs w:val="19"/>
          <w:color w:val="auto"/>
        </w:rPr>
        <w:t>This Plan will become effective on the date that it is adopted by the Company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12. GOVERNING LAW. </w:t>
      </w:r>
      <w:r>
        <w:rPr>
          <w:rFonts w:ascii="Times New Roman" w:cs="Times New Roman" w:eastAsia="Times New Roman" w:hAnsi="Times New Roman"/>
          <w:sz w:val="20"/>
          <w:szCs w:val="20"/>
          <w:color w:val="auto"/>
        </w:rPr>
        <w:t>This Plan and all agreements hereunder to the extent not otherwise governed by the Code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United States shall be governed by and construed in accordance with the laws of the State of Delaware.</w:t>
      </w:r>
    </w:p>
    <w:p>
      <w:pPr>
        <w:spacing w:after="0" w:line="165"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13. AMENDMENT OR TERMINATION OF PLAN. </w:t>
      </w:r>
      <w:r>
        <w:rPr>
          <w:rFonts w:ascii="Times New Roman" w:cs="Times New Roman" w:eastAsia="Times New Roman" w:hAnsi="Times New Roman"/>
          <w:sz w:val="20"/>
          <w:szCs w:val="20"/>
          <w:color w:val="auto"/>
        </w:rPr>
        <w:t>The Plan Administrator may at any time terminate or amend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Plan in any respect, including without limitation amendment of any form of Award Agreement or instrument to be executed pursuant to this Plan.</w:t>
      </w:r>
    </w:p>
    <w:p>
      <w:pPr>
        <w:spacing w:after="0" w:line="175"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SECTION 14. SECTION 409A OF THE CODE. </w:t>
      </w:r>
      <w:r>
        <w:rPr>
          <w:rFonts w:ascii="Times New Roman" w:cs="Times New Roman" w:eastAsia="Times New Roman" w:hAnsi="Times New Roman"/>
          <w:sz w:val="20"/>
          <w:szCs w:val="20"/>
          <w:color w:val="auto"/>
        </w:rPr>
        <w:t>The Plan and Award Agreements will be interpreted to the greatest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possible in a manner that makes the Plan and the Awards granted hereunder exempt from Section 409A of the Code, to the extent that Section 409A of the Code is applicable to an Award, and, to the extent not so exempt, in compliance with Section 409A of the Code. If the Plan Administrator determines that any Award granted hereunder is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if a Participant holding an Award that constitutes “deferred compensation” under Section 409A of the Code is a “specified employee” for purposes of Section 409A of the Code and the Participant is otherwise subject to Section 409A of the Code, no distribution or payment of any amount that is due because of a “separation from service” (as defined in Section 409A of the Code without regard to alternative definitions thereunder) will be issued or paid before the date that is six</w:t>
      </w:r>
    </w:p>
    <w:p>
      <w:pPr>
        <w:spacing w:after="0" w:line="9" w:lineRule="exact"/>
        <w:rPr>
          <w:sz w:val="20"/>
          <w:szCs w:val="20"/>
          <w:color w:val="auto"/>
        </w:rPr>
      </w:pPr>
    </w:p>
    <w:p>
      <w:pPr>
        <w:jc w:val="both"/>
        <w:ind w:firstLine="8"/>
        <w:spacing w:after="0" w:line="248" w:lineRule="auto"/>
        <w:tabs>
          <w:tab w:leader="none" w:pos="29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(6) month period elapses without earnings or interest. Nothing in the Plan shall provide a basis for any person to take action against the Employer or any Affiliate based on matters covered by Section 409A of the Code, including the tax</w:t>
      </w:r>
    </w:p>
    <w:p>
      <w:pPr>
        <w:sectPr>
          <w:pgSz w:w="11900" w:h="16838" w:orient="portrait"/>
          <w:cols w:equalWidth="0" w:num="1">
            <w:col w:w="11240"/>
          </w:cols>
          <w:pgMar w:left="320" w:top="1409" w:right="339" w:bottom="1440" w:gutter="0" w:footer="0" w:header="0"/>
        </w:sectPr>
      </w:pPr>
    </w:p>
    <w:bookmarkStart w:id="224" w:name="page225"/>
    <w:bookmarkEnd w:id="224"/>
    <w:p>
      <w:pPr>
        <w:jc w:val="both"/>
        <w:spacing w:after="0" w:line="261" w:lineRule="auto"/>
        <w:rPr>
          <w:sz w:val="20"/>
          <w:szCs w:val="20"/>
          <w:color w:val="auto"/>
        </w:rPr>
      </w:pPr>
      <w:r>
        <w:rPr>
          <w:rFonts w:ascii="Times New Roman" w:cs="Times New Roman" w:eastAsia="Times New Roman" w:hAnsi="Times New Roman"/>
          <w:sz w:val="20"/>
          <w:szCs w:val="20"/>
          <w:color w:val="auto"/>
        </w:rPr>
        <w:t>treatment of any amount paid or Award made under the Plan, and neither the Employer nor any of its Affiliates shall under any circumstances have any liability to any Participant or his estate or any other party for any taxes, penalties or interest due on amounts paid or payable under the Plan, including taxes, penalties or interest imposed under Section 409A of the Code.</w:t>
      </w:r>
    </w:p>
    <w:p>
      <w:pPr>
        <w:spacing w:after="0" w:line="17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9"/>
          <w:szCs w:val="19"/>
          <w:b w:val="1"/>
          <w:bCs w:val="1"/>
          <w:color w:val="auto"/>
        </w:rPr>
        <w:t>SECTION 15. NON-U.S. PARTICIPANTS AND NON-U.S. LAW CONSIDERATIONS</w:t>
      </w:r>
      <w:r>
        <w:rPr>
          <w:rFonts w:ascii="Times New Roman" w:cs="Times New Roman" w:eastAsia="Times New Roman" w:hAnsi="Times New Roman"/>
          <w:sz w:val="19"/>
          <w:szCs w:val="19"/>
          <w:color w:val="auto"/>
        </w:rPr>
        <w:t>. The Plan Administrator may grant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awards under this Plan to Participants who are non-U.S. nationals, who reside outside of the United States or who are otherwise subject to (or could cause the Company to be subject to) legal or regulatory provisions of countries or jurisdictions outside of the United States, on such terms and conditions different from those specified in the Plan as may, in the judgment of the Plan Administrator, be necessary or desirable to foster and promote achievement of the purposes of the Plan and comply with such legal or regulatory provisions, and, in furtherance of such purposes, the Plan Administrator may make such modifications, amendments, procedures or sub-plans as may be necessary or advisable to comply with such legal or regulatory provisions (including to avoid triggering a public offering or to maximize tax efficiency).</w:t>
      </w:r>
    </w:p>
    <w:p>
      <w:pPr>
        <w:spacing w:after="0" w:line="17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16. NONEXCLUSIVITY OF THE PLAN. </w:t>
      </w:r>
      <w:r>
        <w:rPr>
          <w:rFonts w:ascii="Times New Roman" w:cs="Times New Roman" w:eastAsia="Times New Roman" w:hAnsi="Times New Roman"/>
          <w:sz w:val="20"/>
          <w:szCs w:val="20"/>
          <w:color w:val="auto"/>
        </w:rPr>
        <w:t>Neither the adoption of this Plan by the Company, nor any provision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will be construed as creating any limitations on the power of the Company to adopt such additional compensation arrangements as it may deem desirable, including, without limitation, the granting of options and other equity awards otherwise than under this Plan, and such arrangements may be either generally applicable or applicable only in specific case.</w:t>
      </w:r>
    </w:p>
    <w:p>
      <w:pPr>
        <w:sectPr>
          <w:pgSz w:w="11900" w:h="16838" w:orient="portrait"/>
          <w:cols w:equalWidth="0" w:num="1">
            <w:col w:w="11240"/>
          </w:cols>
          <w:pgMar w:left="320" w:top="1413"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LP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EVERGREEN FUND INCENTIVE PLAN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AWARD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Unless otherwise defined herein, the terms defined in the StepStone Group LP Evergreen Fund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shall have the same meanings in this Award Notice (the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-8255</wp:posOffset>
            </wp:positionV>
            <wp:extent cx="1257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StepStone Group LP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 Share Unit award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under the Plan covering the number of Share Units set forth below subject to the terms and conditions of the Plan, this Notice and the Award Agreement attached to this Notice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For purposes of this Agreement,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shall mean a share of [StepStone Private Markets – Class I Shares].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-8255</wp:posOffset>
            </wp:positionV>
            <wp:extent cx="1257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Total Number of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-8255</wp:posOffset>
            </wp:positionV>
            <wp:extent cx="1257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368" w:lineRule="exact"/>
        <w:rPr>
          <w:sz w:val="20"/>
          <w:szCs w:val="20"/>
          <w:color w:val="auto"/>
        </w:rPr>
      </w:pPr>
    </w:p>
    <w:tbl>
      <w:tblPr>
        <w:tblLayout w:type="fixed"/>
        <w:tblInd w:w="1140" w:type="dxa"/>
        <w:tblCellMar>
          <w:top w:w="0" w:type="dxa"/>
          <w:left w:w="0" w:type="dxa"/>
          <w:bottom w:w="0" w:type="dxa"/>
          <w:right w:w="0" w:type="dxa"/>
        </w:tblCellMar>
      </w:tblPr>
      <w:tr>
        <w:trPr>
          <w:trHeight w:val="258"/>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w:t>
            </w:r>
          </w:p>
        </w:tc>
        <w:tc>
          <w:tcPr>
            <w:tcW w:w="40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 of the Share Units will vest on [DATE];</w:t>
            </w:r>
          </w:p>
        </w:tc>
      </w:tr>
      <w:tr>
        <w:trPr>
          <w:trHeight w:val="608"/>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w:t>
            </w:r>
          </w:p>
        </w:tc>
        <w:tc>
          <w:tcPr>
            <w:tcW w:w="40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 of the Share Units will vest on [DATE];</w:t>
            </w:r>
          </w:p>
        </w:tc>
      </w:tr>
      <w:tr>
        <w:trPr>
          <w:trHeight w:val="607"/>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w:t>
            </w:r>
          </w:p>
        </w:tc>
        <w:tc>
          <w:tcPr>
            <w:tcW w:w="40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7"/>
              </w:rPr>
              <w:t>] of the Share Units will vest on [DATE]; and</w:t>
            </w:r>
          </w:p>
        </w:tc>
      </w:tr>
      <w:tr>
        <w:trPr>
          <w:trHeight w:val="621"/>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w:t>
            </w:r>
          </w:p>
        </w:tc>
        <w:tc>
          <w:tcPr>
            <w:tcW w:w="40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 of the Share Units will vest on [DATE];</w:t>
            </w:r>
          </w:p>
        </w:tc>
      </w:tr>
    </w:tbl>
    <w:p>
      <w:pPr>
        <w:spacing w:after="0" w:line="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subject in each case to your Service through each such date (each such date being a “</w:t>
      </w:r>
      <w:r>
        <w:rPr>
          <w:rFonts w:ascii="Times New Roman" w:cs="Times New Roman" w:eastAsia="Times New Roman" w:hAnsi="Times New Roman"/>
          <w:sz w:val="20"/>
          <w:szCs w:val="20"/>
          <w:b w:val="1"/>
          <w:bCs w:val="1"/>
          <w:i w:val="1"/>
          <w:iCs w:val="1"/>
          <w:color w:val="auto"/>
        </w:rPr>
        <w:t>Vesting Date</w:t>
      </w:r>
      <w:r>
        <w:rPr>
          <w:rFonts w:ascii="Times New Roman" w:cs="Times New Roman" w:eastAsia="Times New Roman" w:hAnsi="Times New Roman"/>
          <w:sz w:val="20"/>
          <w:szCs w:val="20"/>
          <w:color w:val="auto"/>
        </w:rPr>
        <w:t>”). If you cease Service for any or no reason before a Vesting Date, the then unvested Share Units will immediately terminate; provided, however, that if your termination of Service is due to:</w:t>
      </w:r>
    </w:p>
    <w:p>
      <w:pPr>
        <w:spacing w:after="0" w:line="139"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death or Disability all of the Share Units shall vest in full upon such termination of Service</w:t>
      </w:r>
    </w:p>
    <w:p>
      <w:pPr>
        <w:spacing w:after="0" w:line="188"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99"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Retirement, the Share Units shall, for purposes of determining the settlement date, continue to vest on each Vesting Date as set forth above notwithstanding that you are no longer providing Service on each Vesting Date; or</w:t>
      </w:r>
    </w:p>
    <w:p>
      <w:pPr>
        <w:spacing w:after="0" w:line="119" w:lineRule="exact"/>
        <w:rPr>
          <w:rFonts w:ascii="Times New Roman" w:cs="Times New Roman" w:eastAsia="Times New Roman" w:hAnsi="Times New Roman"/>
          <w:sz w:val="20"/>
          <w:szCs w:val="20"/>
          <w:color w:val="auto"/>
        </w:rPr>
      </w:pPr>
    </w:p>
    <w:p>
      <w:pPr>
        <w:jc w:val="both"/>
        <w:ind w:left="1300" w:right="20" w:hanging="644"/>
        <w:spacing w:after="0" w:line="261" w:lineRule="auto"/>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by the Employer without Cause or resignation by you due to Good Reason, in either case, upon or within the thirteen (13) month period following a Change in Control, then all of the Share Units shall vest in full upon such termination of Service.</w:t>
      </w:r>
    </w:p>
    <w:p>
      <w:pPr>
        <w:spacing w:after="0" w:line="14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If your service is terminated by the Employer for Cause (as defined in the Plan), all then unsettled portions of this Award (whether vested or unvested) shall expire and be immediately cancelled for no consideration on your date of termination of Service.</w:t>
      </w:r>
    </w:p>
    <w:p>
      <w:pPr>
        <w:sectPr>
          <w:pgSz w:w="11900" w:h="16838" w:orient="portrait"/>
          <w:cols w:equalWidth="0" w:num="1">
            <w:col w:w="11240"/>
          </w:cols>
          <w:pgMar w:left="320" w:top="122" w:right="339" w:bottom="1440" w:gutter="0" w:footer="0" w:header="0"/>
        </w:sectPr>
      </w:pPr>
    </w:p>
    <w:bookmarkStart w:id="226" w:name="page227"/>
    <w:bookmarkEnd w:id="226"/>
    <w:p>
      <w:pPr>
        <w:jc w:val="both"/>
        <w:spacing w:after="0" w:line="253" w:lineRule="auto"/>
        <w:rPr>
          <w:sz w:val="20"/>
          <w:szCs w:val="20"/>
          <w:color w:val="auto"/>
        </w:rPr>
      </w:pPr>
      <w:r>
        <w:rPr>
          <w:rFonts w:ascii="Times New Roman" w:cs="Times New Roman" w:eastAsia="Times New Roman" w:hAnsi="Times New Roman"/>
          <w:sz w:val="20"/>
          <w:szCs w:val="20"/>
          <w:color w:val="auto"/>
        </w:rPr>
        <w:t>You understand that unless otherwise provided in an employment agreement, your employment or consulting relationship or service with the Employer or any Affiliate is for an unspecified duration, can be terminated at any time, and that nothing in this Notice, the Agreement or the Plan changes the nature of that relationship. You acknowledge that the vesting of the Award pursuant to this Notice is earned only by your continuing Service with the Employer or any Affiliate. You also understand that this Notice is subject to the terms and conditions of both the Agreement and the Plan, both of which are incorporated herein by reference. You have read both the Agreement and the Plan.</w:t>
      </w:r>
    </w:p>
    <w:p>
      <w:pPr>
        <w:spacing w:after="0" w:line="147"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PARTICIPANT:</w:t>
      </w:r>
      <w:r>
        <w:rPr>
          <w:sz w:val="20"/>
          <w:szCs w:val="20"/>
          <w:color w:val="auto"/>
        </w:rPr>
        <w:tab/>
      </w:r>
      <w:r>
        <w:rPr>
          <w:rFonts w:ascii="Times New Roman" w:cs="Times New Roman" w:eastAsia="Times New Roman" w:hAnsi="Times New Roman"/>
          <w:sz w:val="19"/>
          <w:szCs w:val="19"/>
          <w:b w:val="1"/>
          <w:bCs w:val="1"/>
          <w:color w:val="auto"/>
        </w:rPr>
        <w:t>STEPSTONE GROUP LP</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By: StepStone Group Holdings LLC, its general partner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Signature:</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By:_____________________________</w:t>
            </w:r>
          </w:p>
        </w:tc>
      </w:tr>
      <w:tr>
        <w:trPr>
          <w:trHeight w:val="398"/>
        </w:trPr>
        <w:tc>
          <w:tcPr>
            <w:tcW w:w="10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Print Name:</w:t>
            </w:r>
          </w:p>
        </w:tc>
        <w:tc>
          <w:tcPr>
            <w:tcW w:w="14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Its: _____________________________</w:t>
            </w: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98"/>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Date: ___________________________</w:t>
            </w:r>
          </w:p>
        </w:tc>
      </w:tr>
    </w:tbl>
    <w:p>
      <w:pPr>
        <w:sectPr>
          <w:pgSz w:w="11900" w:h="16838" w:orient="portrait"/>
          <w:cols w:equalWidth="0" w:num="1">
            <w:col w:w="11240"/>
          </w:cols>
          <w:pgMar w:left="320" w:top="1413"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LP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EVERGREEN FUND INCENTIVE PLAN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AWARD AGREEMENT</w:t>
      </w:r>
    </w:p>
    <w:p>
      <w:pPr>
        <w:spacing w:after="0" w:line="22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color w:val="auto"/>
        </w:rPr>
        <w:t>This Award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between StepStone Group LP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individual listed in the Award Notice (the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to which this Agreement is attached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Unless otherwise defined in this Agreement, any capitalized terms used herein shall have the meaning ascribed to them in the StepStone Group LP Evergreen Fund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56"/>
        <w:spacing w:after="0" w:line="262" w:lineRule="auto"/>
        <w:tabs>
          <w:tab w:leader="none" w:pos="129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Award</w:t>
      </w:r>
      <w:r>
        <w:rPr>
          <w:rFonts w:ascii="Times New Roman" w:cs="Times New Roman" w:eastAsia="Times New Roman" w:hAnsi="Times New Roman"/>
          <w:sz w:val="20"/>
          <w:szCs w:val="20"/>
          <w:color w:val="auto"/>
        </w:rPr>
        <w:t>. Subject to the terms and conditions of the Plan and this Agreement, the Company hereby grants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on the Date of Grant set forth in the Notice (the “</w:t>
      </w:r>
      <w:r>
        <w:rPr>
          <w:rFonts w:ascii="Times New Roman" w:cs="Times New Roman" w:eastAsia="Times New Roman" w:hAnsi="Times New Roman"/>
          <w:sz w:val="20"/>
          <w:szCs w:val="20"/>
          <w:b w:val="1"/>
          <w:bCs w:val="1"/>
          <w:i w:val="1"/>
          <w:iCs w:val="1"/>
          <w:color w:val="auto"/>
        </w:rPr>
        <w:t>Date of Grant</w:t>
      </w:r>
      <w:r>
        <w:rPr>
          <w:rFonts w:ascii="Times New Roman" w:cs="Times New Roman" w:eastAsia="Times New Roman" w:hAnsi="Times New Roman"/>
          <w:sz w:val="20"/>
          <w:szCs w:val="20"/>
          <w:color w:val="auto"/>
        </w:rPr>
        <w:t>”) an Award covering the number of Share Units set forth in the</w:t>
      </w:r>
    </w:p>
    <w:p>
      <w:pPr>
        <w:spacing w:after="0" w:line="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Notice. In the event of a conflict between the terms and conditions of the Plan and the terms and conditions of this Agreement, the terms and conditions of the Plan shall prevail.</w:t>
      </w:r>
    </w:p>
    <w:p>
      <w:pPr>
        <w:spacing w:after="0" w:line="169" w:lineRule="exact"/>
        <w:rPr>
          <w:sz w:val="20"/>
          <w:szCs w:val="20"/>
          <w:color w:val="auto"/>
        </w:rPr>
      </w:pPr>
    </w:p>
    <w:p>
      <w:pPr>
        <w:jc w:val="both"/>
        <w:ind w:firstLine="656"/>
        <w:spacing w:after="0" w:line="252" w:lineRule="auto"/>
        <w:tabs>
          <w:tab w:leader="none" w:pos="129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Awards</w:t>
      </w:r>
      <w:r>
        <w:rPr>
          <w:rFonts w:ascii="Times New Roman" w:cs="Times New Roman" w:eastAsia="Times New Roman" w:hAnsi="Times New Roman"/>
          <w:sz w:val="20"/>
          <w:szCs w:val="20"/>
          <w:color w:val="auto"/>
        </w:rPr>
        <w:t>. Subject to the applicable provisions of the Plan and this Agreement, this Award shall be settled,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whole or in part, in accordance with the vesting schedule set forth in the Notice. The Participant shall receive, subject to applicable withholding, (i) Shares or (ii) an amount payable in cash equal to the Fair Market Value of a Share determined on the date the Award, or portion thereof, vests (except in the case of termination of Service as a result of Retirement, in which case, the Fair Market Value on the date of the relevant Vesting Date shall be used) or (iii) a combination of (i) and (ii), in each case as determined by the Plan Administrator (or with respect to Awards granted to Section 16 Officers, the Compensation Committee) in its discretion, multiplied by the number of Share Units with respect to which the Award is being settled within sixty (60) days following the date it vests or is otherwise to be settled with respect to Retirement.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Nondisclosure of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agrees not to disclose the existence and terms of this Agreement to any person except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 or her spouse and: (a) licensed attorney(s) for the purpose of obtaining legal advice; (b) licensed or certified accountant(s) for the purpose of preparing tax returns or other financial services; (c) in formal proceedings to enforce the terms of this Agreement; or (d) as required by law or court order. In the event, Participant violates the conditions of this Section 3, the Award granted under this Agreement may be cancelled by the Company for no consideration.</w:t>
      </w:r>
    </w:p>
    <w:p>
      <w:pPr>
        <w:spacing w:after="0" w:line="187" w:lineRule="exact"/>
        <w:rPr>
          <w:rFonts w:ascii="Times New Roman" w:cs="Times New Roman" w:eastAsia="Times New Roman" w:hAnsi="Times New Roman"/>
          <w:sz w:val="20"/>
          <w:szCs w:val="20"/>
          <w:color w:val="auto"/>
        </w:rPr>
      </w:pPr>
    </w:p>
    <w:p>
      <w:pPr>
        <w:jc w:val="both"/>
        <w:ind w:firstLine="656"/>
        <w:spacing w:after="0" w:line="263" w:lineRule="auto"/>
        <w:tabs>
          <w:tab w:leader="none" w:pos="129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 of Award</w:t>
      </w:r>
      <w:r>
        <w:rPr>
          <w:rFonts w:ascii="Times New Roman" w:cs="Times New Roman" w:eastAsia="Times New Roman" w:hAnsi="Times New Roman"/>
          <w:sz w:val="20"/>
          <w:szCs w:val="20"/>
          <w:color w:val="auto"/>
        </w:rPr>
        <w:t>. This Award may not be transferred in any manner other than by will or by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descent or distribution or court order. No Award may be pledged, alienated, attached or otherwise encumbered, and any purported pledge, alienation, attachment or encumbrance of the Award shall be void and unenforceable against the Employer or any Affiliates.</w:t>
      </w:r>
    </w:p>
    <w:p>
      <w:pPr>
        <w:spacing w:after="0" w:line="16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Successors and Assigns; No Third Party Beneficiaries</w:t>
      </w:r>
      <w:r>
        <w:rPr>
          <w:rFonts w:ascii="Times New Roman" w:cs="Times New Roman" w:eastAsia="Times New Roman" w:hAnsi="Times New Roman"/>
          <w:sz w:val="20"/>
          <w:szCs w:val="20"/>
          <w:color w:val="auto"/>
        </w:rPr>
        <w:t>. This Agreement shall inure to the benefit of and be binding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Employer and Participant and their respective heirs, successors, executors, administrators, legal representatives and permitted assigns. Nothing in this Agreement, expressed or implied, is intended to confer on any person other than the Company and Participant, and their respective heirs, successors, legal representatives and permitted assigns, any rights, remedies, obligations or liabilities under or by reason of this Agreement.</w:t>
      </w:r>
    </w:p>
    <w:p>
      <w:pPr>
        <w:spacing w:after="0" w:line="167" w:lineRule="exact"/>
        <w:rPr>
          <w:rFonts w:ascii="Times New Roman" w:cs="Times New Roman" w:eastAsia="Times New Roman" w:hAnsi="Times New Roman"/>
          <w:sz w:val="20"/>
          <w:szCs w:val="20"/>
          <w:color w:val="auto"/>
        </w:rPr>
      </w:pPr>
    </w:p>
    <w:p>
      <w:pPr>
        <w:jc w:val="both"/>
        <w:ind w:firstLine="656"/>
        <w:spacing w:after="0" w:line="260" w:lineRule="auto"/>
        <w:tabs>
          <w:tab w:leader="none" w:pos="129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a Unitholder</w:t>
      </w:r>
      <w:r>
        <w:rPr>
          <w:rFonts w:ascii="Times New Roman" w:cs="Times New Roman" w:eastAsia="Times New Roman" w:hAnsi="Times New Roman"/>
          <w:sz w:val="20"/>
          <w:szCs w:val="20"/>
          <w:color w:val="auto"/>
        </w:rPr>
        <w:t>. Participant shall not be, nor have any of the rights or privileges of, a shareholder of a Share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of any Share Units unless and until Shares settled for such Share Units shall have been issued to Participant. Notwithstanding the foregoing, from and after the date of the Date of Grant and until the earlier of (a) the time when the Awards become nonforfeitable and payable in accordance with the terms hereof or (b) the time when Participant’s right to receive Shares upon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9" w:right="339" w:bottom="1440" w:gutter="0" w:footer="0" w:header="0"/>
        </w:sectPr>
      </w:pPr>
    </w:p>
    <w:bookmarkStart w:id="228" w:name="page229"/>
    <w:bookmarkEnd w:id="228"/>
    <w:p>
      <w:pPr>
        <w:jc w:val="both"/>
        <w:spacing w:after="0" w:line="253" w:lineRule="auto"/>
        <w:rPr>
          <w:sz w:val="20"/>
          <w:szCs w:val="20"/>
          <w:color w:val="auto"/>
        </w:rPr>
      </w:pPr>
      <w:r>
        <w:rPr>
          <w:rFonts w:ascii="Times New Roman" w:cs="Times New Roman" w:eastAsia="Times New Roman" w:hAnsi="Times New Roman"/>
          <w:sz w:val="20"/>
          <w:szCs w:val="20"/>
          <w:color w:val="auto"/>
        </w:rPr>
        <w:t>of Share Units is forfeited, on the date that the dividends are paid (if any) to holders of the Shares generally, Participant shall be credited with a dollar amount equal to (i) the per Share cash dividend paid by the Share issuer on its Shares on such date, multiplied by (ii) the total number of Share Units subject to the Award that are outstanding immediately prior to the record date for that dividend (the “</w:t>
      </w:r>
      <w:r>
        <w:rPr>
          <w:rFonts w:ascii="Times New Roman" w:cs="Times New Roman" w:eastAsia="Times New Roman" w:hAnsi="Times New Roman"/>
          <w:sz w:val="20"/>
          <w:szCs w:val="20"/>
          <w:b w:val="1"/>
          <w:bCs w:val="1"/>
          <w:i w:val="1"/>
          <w:iCs w:val="1"/>
          <w:color w:val="auto"/>
        </w:rPr>
        <w:t>Distribution Equivalent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Righ</w:t>
      </w:r>
      <w:r>
        <w:rPr>
          <w:rFonts w:ascii="Times New Roman" w:cs="Times New Roman" w:eastAsia="Times New Roman" w:hAnsi="Times New Roman"/>
          <w:sz w:val="20"/>
          <w:szCs w:val="20"/>
          <w:color w:val="auto"/>
        </w:rPr>
        <w:t>t”). Such Distribution Equivalent Rights (if any) shall be subject to the same terms and conditions, including vesting and the obligation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satisfy any withholding tax obligations, in the same manner and at the same time as the Share Units to which the Distribution Equivalent Rights relate; provided, however, that the amount of any vested Distribution Equivalent Rights shall be paid in cash and, provided further, that Participant shall be entitled to apply such Distribution Equivalent Rights to any withholding tax obligations.</w:t>
      </w:r>
    </w:p>
    <w:p>
      <w:pPr>
        <w:spacing w:after="0" w:line="175"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Responsibility for Taxes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1"/>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Regardless of any action the Employer takes with respect to any or all income tax, social insurance, payroll tax, fringe benefits tax, payment on account or other tax related items related to Participant’s participation in the Plan and legally applicable or deemed applicable to Participant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Participant acknowledges that the ultimate liability for all Tax-Related Items is and remains Participant’s responsibility and may exceed the amount, if any, actually withheld by the Company or the Employer. Participant further acknowledges that the Company and/or the Employer (or former employer, as applicable):</w:t>
      </w:r>
    </w:p>
    <w:p>
      <w:pPr>
        <w:spacing w:after="0" w:line="191" w:lineRule="exact"/>
        <w:rPr>
          <w:rFonts w:ascii="Times New Roman" w:cs="Times New Roman" w:eastAsia="Times New Roman" w:hAnsi="Times New Roman"/>
          <w:sz w:val="20"/>
          <w:szCs w:val="20"/>
          <w:b w:val="1"/>
          <w:bCs w:val="1"/>
          <w:color w:val="auto"/>
        </w:rPr>
      </w:pPr>
    </w:p>
    <w:p>
      <w:pPr>
        <w:jc w:val="both"/>
        <w:ind w:left="2520" w:hanging="649"/>
        <w:spacing w:after="0" w:line="261" w:lineRule="auto"/>
        <w:tabs>
          <w:tab w:leader="none" w:pos="2518" w:val="left"/>
        </w:tabs>
        <w:numPr>
          <w:ilvl w:val="2"/>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make no representations or undertakings regarding the treatment of any Tax-Related Items in connection with any aspect of the Award or the underlying Share Units, including, but not limited to, the grant or vesting of the Award and the subsequent sale of Shares acquired under the Plan;</w:t>
      </w:r>
    </w:p>
    <w:p>
      <w:pPr>
        <w:spacing w:after="0" w:line="208" w:lineRule="exact"/>
        <w:rPr>
          <w:rFonts w:ascii="Times New Roman" w:cs="Times New Roman" w:eastAsia="Times New Roman" w:hAnsi="Times New Roman"/>
          <w:sz w:val="20"/>
          <w:szCs w:val="20"/>
          <w:b w:val="1"/>
          <w:bCs w:val="1"/>
          <w:color w:val="auto"/>
        </w:rPr>
      </w:pPr>
    </w:p>
    <w:p>
      <w:pPr>
        <w:ind w:left="2520" w:hanging="649"/>
        <w:spacing w:after="0" w:line="269" w:lineRule="auto"/>
        <w:tabs>
          <w:tab w:leader="none" w:pos="2519" w:val="left"/>
        </w:tabs>
        <w:numPr>
          <w:ilvl w:val="2"/>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do not commit to and are under no obligation to structure the terms of the grant or any aspect of the Award to reduce or eliminate Participant’s liability for Tax-Related Items or achieve any particular tax result; and</w:t>
      </w:r>
    </w:p>
    <w:p>
      <w:pPr>
        <w:spacing w:after="0" w:line="199" w:lineRule="exact"/>
        <w:rPr>
          <w:rFonts w:ascii="Times New Roman" w:cs="Times New Roman" w:eastAsia="Times New Roman" w:hAnsi="Times New Roman"/>
          <w:sz w:val="20"/>
          <w:szCs w:val="20"/>
          <w:b w:val="1"/>
          <w:bCs w:val="1"/>
          <w:color w:val="auto"/>
        </w:rPr>
      </w:pPr>
    </w:p>
    <w:p>
      <w:pPr>
        <w:jc w:val="both"/>
        <w:ind w:left="2520" w:hanging="649"/>
        <w:spacing w:after="0" w:line="261" w:lineRule="auto"/>
        <w:tabs>
          <w:tab w:leader="none" w:pos="2520" w:val="left"/>
        </w:tabs>
        <w:numPr>
          <w:ilvl w:val="2"/>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may be required to withhold or account for Tax-Related Items in more than one jurisdiction if Participant has become subject to tax in more than one jurisdiction between the Date of Grant and the date of any relevant taxable or tax withholding event, as applicable.</w:t>
      </w:r>
    </w:p>
    <w:p>
      <w:pPr>
        <w:spacing w:after="0" w:line="194"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1943" w:val="left"/>
        </w:tabs>
        <w:numPr>
          <w:ilvl w:val="1"/>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connection with any relevant taxable or tax withholding event, as applicable, Participant will pay or make adequate arrangements satisfactory to the Employer to satisfy all Tax-Related Items. In this regard, Participant authorizes the Company and/or the Employer, or their respective agents, at their discretion, to satisfy the obligations or rights with regard to all Tax-Related Items by one or a combination of the following:</w:t>
      </w:r>
    </w:p>
    <w:p>
      <w:pPr>
        <w:spacing w:after="0" w:line="185" w:lineRule="exact"/>
        <w:rPr>
          <w:rFonts w:ascii="Times New Roman" w:cs="Times New Roman" w:eastAsia="Times New Roman" w:hAnsi="Times New Roman"/>
          <w:sz w:val="20"/>
          <w:szCs w:val="20"/>
          <w:b w:val="1"/>
          <w:bCs w:val="1"/>
          <w:color w:val="auto"/>
        </w:rPr>
      </w:pPr>
    </w:p>
    <w:p>
      <w:pPr>
        <w:ind w:left="2520" w:hanging="649"/>
        <w:spacing w:after="0"/>
        <w:tabs>
          <w:tab w:leader="none" w:pos="2520" w:val="left"/>
        </w:tabs>
        <w:numPr>
          <w:ilvl w:val="2"/>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requiring Participant to make a payment in a form acceptable to the Company;</w:t>
      </w:r>
    </w:p>
    <w:p>
      <w:pPr>
        <w:spacing w:after="0" w:line="242" w:lineRule="exact"/>
        <w:rPr>
          <w:rFonts w:ascii="Times New Roman" w:cs="Times New Roman" w:eastAsia="Times New Roman" w:hAnsi="Times New Roman"/>
          <w:sz w:val="20"/>
          <w:szCs w:val="20"/>
          <w:b w:val="1"/>
          <w:bCs w:val="1"/>
          <w:color w:val="auto"/>
        </w:rPr>
      </w:pPr>
    </w:p>
    <w:p>
      <w:pPr>
        <w:ind w:left="2520" w:hanging="649"/>
        <w:spacing w:after="0"/>
        <w:tabs>
          <w:tab w:leader="none" w:pos="2520" w:val="left"/>
        </w:tabs>
        <w:numPr>
          <w:ilvl w:val="2"/>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withholding from Participant’s wages or other cash compensation payable to Participant;</w:t>
      </w:r>
    </w:p>
    <w:p>
      <w:pPr>
        <w:spacing w:after="0" w:line="256" w:lineRule="exact"/>
        <w:rPr>
          <w:rFonts w:ascii="Times New Roman" w:cs="Times New Roman" w:eastAsia="Times New Roman" w:hAnsi="Times New Roman"/>
          <w:sz w:val="20"/>
          <w:szCs w:val="20"/>
          <w:b w:val="1"/>
          <w:bCs w:val="1"/>
          <w:color w:val="auto"/>
        </w:rPr>
      </w:pPr>
    </w:p>
    <w:p>
      <w:pPr>
        <w:jc w:val="both"/>
        <w:ind w:left="2520" w:hanging="649"/>
        <w:spacing w:after="0" w:line="261" w:lineRule="auto"/>
        <w:tabs>
          <w:tab w:leader="none" w:pos="2520" w:val="left"/>
        </w:tabs>
        <w:numPr>
          <w:ilvl w:val="2"/>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withholding from proceeds of the sale of Shares acquired upon settlement of the Award either through a voluntary sale or through a mandatory sale arranged by the Company (on Participant’s behalf pursuant to this authorization without further consent);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229" w:name="page230"/>
    <w:bookmarkEnd w:id="229"/>
    <w:p>
      <w:pPr>
        <w:spacing w:after="0" w:line="216" w:lineRule="exact"/>
        <w:rPr>
          <w:sz w:val="20"/>
          <w:szCs w:val="20"/>
          <w:color w:val="auto"/>
        </w:rPr>
      </w:pPr>
    </w:p>
    <w:p>
      <w:pPr>
        <w:ind w:left="2500" w:hanging="629"/>
        <w:spacing w:after="0"/>
        <w:tabs>
          <w:tab w:leader="none" w:pos="2500" w:val="left"/>
        </w:tabs>
        <w:numPr>
          <w:ilvl w:val="2"/>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withholding Shares otherwise issuable to the Participant in connection with the Award; or</w:t>
      </w:r>
    </w:p>
    <w:p>
      <w:pPr>
        <w:spacing w:after="0" w:line="256" w:lineRule="exact"/>
        <w:rPr>
          <w:rFonts w:ascii="Times New Roman" w:cs="Times New Roman" w:eastAsia="Times New Roman" w:hAnsi="Times New Roman"/>
          <w:sz w:val="20"/>
          <w:szCs w:val="20"/>
          <w:b w:val="1"/>
          <w:bCs w:val="1"/>
          <w:color w:val="auto"/>
        </w:rPr>
      </w:pPr>
    </w:p>
    <w:p>
      <w:pPr>
        <w:ind w:left="2520" w:hanging="649"/>
        <w:spacing w:after="0" w:line="269" w:lineRule="auto"/>
        <w:tabs>
          <w:tab w:leader="none" w:pos="2508" w:val="left"/>
        </w:tabs>
        <w:numPr>
          <w:ilvl w:val="2"/>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other method of withholding determined by the Company and to the extent required by applicable law or the Plan, approved by the Plan Administrator.</w:t>
      </w:r>
    </w:p>
    <w:p>
      <w:pPr>
        <w:spacing w:after="0" w:line="199" w:lineRule="exact"/>
        <w:rPr>
          <w:rFonts w:ascii="Times New Roman" w:cs="Times New Roman" w:eastAsia="Times New Roman" w:hAnsi="Times New Roman"/>
          <w:sz w:val="20"/>
          <w:szCs w:val="20"/>
          <w:b w:val="1"/>
          <w:bCs w:val="1"/>
          <w:color w:val="auto"/>
        </w:rPr>
      </w:pPr>
    </w:p>
    <w:p>
      <w:pPr>
        <w:jc w:val="both"/>
        <w:ind w:firstLine="1304"/>
        <w:spacing w:after="0" w:line="261" w:lineRule="auto"/>
        <w:tabs>
          <w:tab w:leader="none" w:pos="1934" w:val="left"/>
        </w:tabs>
        <w:numPr>
          <w:ilvl w:val="1"/>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obligation for Tax-Related Items is satisfied by withholding Shares, for tax purposes, Participant will be deemed to have been issued the full number of Shares subject to the vested Award, notwithstanding that a number of the Shares is held back solely for the purpose of paying the Tax-Related Items.</w:t>
      </w:r>
    </w:p>
    <w:p>
      <w:pPr>
        <w:spacing w:after="0" w:line="208"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943" w:val="left"/>
        </w:tabs>
        <w:numPr>
          <w:ilvl w:val="1"/>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Participant is a Section 16 Officer, then the Company will withhold Shares upon the relevant taxable or tax withholding event, as applicable, unless the use of such withholding method is problematic under applicable tax or securities law or has materially adverse accounting consequences, in which case, the obligation for Tax-Related Items may be satisfied by one or a combination of methods under Section 7(b)(i) and (ii) above.</w:t>
      </w:r>
    </w:p>
    <w:p>
      <w:pPr>
        <w:spacing w:after="0" w:line="214" w:lineRule="exact"/>
        <w:rPr>
          <w:rFonts w:ascii="Times New Roman" w:cs="Times New Roman" w:eastAsia="Times New Roman" w:hAnsi="Times New Roman"/>
          <w:sz w:val="20"/>
          <w:szCs w:val="20"/>
          <w:b w:val="1"/>
          <w:bCs w:val="1"/>
          <w:color w:val="auto"/>
        </w:rPr>
      </w:pPr>
    </w:p>
    <w:p>
      <w:pPr>
        <w:jc w:val="both"/>
        <w:ind w:firstLine="1304"/>
        <w:spacing w:after="0" w:line="253" w:lineRule="auto"/>
        <w:tabs>
          <w:tab w:leader="none" w:pos="1934" w:val="left"/>
        </w:tabs>
        <w:numPr>
          <w:ilvl w:val="1"/>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withhold or account for Tax-Related Items by considering statutory or other withholding rates, including minimum or maximum rates applicable in my jurisdiction(s). In the event of over-withholding, Participant may receive a refund of any over-withheld amount in cash (with no entitlement to the equivalent in Shares), or if not refunded, Participant may need to seek a refund from the local tax authorities. In the event of under-withholding, Participant may be required to pay any additional Tax-Related Items directly to the applicable tax authority or to the Company and/or the Employer.</w:t>
      </w:r>
    </w:p>
    <w:p>
      <w:pPr>
        <w:spacing w:after="0" w:line="218" w:lineRule="exact"/>
        <w:rPr>
          <w:rFonts w:ascii="Times New Roman" w:cs="Times New Roman" w:eastAsia="Times New Roman" w:hAnsi="Times New Roman"/>
          <w:sz w:val="20"/>
          <w:szCs w:val="20"/>
          <w:b w:val="1"/>
          <w:bCs w:val="1"/>
          <w:color w:val="auto"/>
        </w:rPr>
      </w:pPr>
    </w:p>
    <w:p>
      <w:pPr>
        <w:ind w:firstLine="1304"/>
        <w:spacing w:after="0" w:line="283" w:lineRule="auto"/>
        <w:tabs>
          <w:tab w:leader="none" w:pos="1939" w:val="left"/>
        </w:tabs>
        <w:numPr>
          <w:ilvl w:val="1"/>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refuse to issue or deliver cash, Shares or the proceeds of the sale of Shares, if Participant fails to comply with Participant’s obligations in connection with the Tax-Related Items.</w:t>
      </w:r>
    </w:p>
    <w:p>
      <w:pPr>
        <w:spacing w:after="0" w:line="169"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9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Acknowledgement</w:t>
      </w:r>
      <w:r>
        <w:rPr>
          <w:rFonts w:ascii="Times New Roman" w:cs="Times New Roman" w:eastAsia="Times New Roman" w:hAnsi="Times New Roman"/>
          <w:sz w:val="20"/>
          <w:szCs w:val="20"/>
          <w:color w:val="auto"/>
        </w:rPr>
        <w:t>. The Company and Participant agree that the Award is granted under and governed by the Notice,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by the provisions of the Plan (incorporated herein by reference). Participant: (i) acknowledges receipt of a copy of the Plan, the Agreement and the Notice, (ii) represents that Participant has carefully read and is familiar with their provisions, and (iii) hereby accepts the Award subject to all of the terms and conditions set forth herein and those set forth in the Plan, the Agreement and the Notice.</w:t>
      </w:r>
    </w:p>
    <w:p>
      <w:pPr>
        <w:spacing w:after="0" w:line="164"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Any notice required or permitted hereunder shall be given in writing and shall be deemed effectively given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delivery (including, in the case of communications or notices delivered to the Participant, at the Participant’s principal place of employment), upon deposit for delivery by an internationally recognized express mail courier service or upon deposit in the United States mail by certified mail (if the parties are within the United States), with postage and fees prepaid, addressed to, in the case of notices to Participant, the last address on file with the Employer, and for notices to the Company, to the following address (or to such other address as such party may designate in writing from time to time to the other party):</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StepStone Group LP</w:t>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 Legal Department</w:t>
      </w:r>
    </w:p>
    <w:p>
      <w:pPr>
        <w:spacing w:after="0" w:line="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4225 Executive Square, Suite 1600</w:t>
      </w:r>
    </w:p>
    <w:p>
      <w:pPr>
        <w:spacing w:after="0" w:line="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La Jolla, CA 92037</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00" w:lineRule="exact"/>
        <w:rPr>
          <w:sz w:val="20"/>
          <w:szCs w:val="20"/>
          <w:color w:val="auto"/>
        </w:rPr>
      </w:pPr>
    </w:p>
    <w:p>
      <w:pPr>
        <w:spacing w:after="0" w:line="228" w:lineRule="exact"/>
        <w:rPr>
          <w:sz w:val="20"/>
          <w:szCs w:val="20"/>
          <w:color w:val="auto"/>
        </w:rPr>
      </w:pPr>
    </w:p>
    <w:p>
      <w:pPr>
        <w:jc w:val="both"/>
        <w:ind w:firstLine="656"/>
        <w:spacing w:after="0" w:line="254" w:lineRule="auto"/>
        <w:tabs>
          <w:tab w:leader="none" w:pos="128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 Enforcement of Rights</w:t>
      </w:r>
      <w:r>
        <w:rPr>
          <w:rFonts w:ascii="Times New Roman" w:cs="Times New Roman" w:eastAsia="Times New Roman" w:hAnsi="Times New Roman"/>
          <w:sz w:val="20"/>
          <w:szCs w:val="20"/>
          <w:color w:val="auto"/>
        </w:rPr>
        <w:t>. This Agreement, the Plan and the Notice constitute the entire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understanding of the parties relating to the subject matter herein and supersede all prior discussions between them. Any prior agreements, commitments or negotiations concerning the Award are superseded. No modification of or amendment to this Agreement, nor any waiver of any rights under this Agreement, shall be effective unless in writing and signed by the parties to this Agreement. The failure by either party to enforce any rights under this Agreement shall not be construed as a waiver of any rights of such party.</w:t>
      </w:r>
    </w:p>
    <w:p>
      <w:pPr>
        <w:spacing w:after="0" w:line="187" w:lineRule="exact"/>
        <w:rPr>
          <w:rFonts w:ascii="Times New Roman" w:cs="Times New Roman" w:eastAsia="Times New Roman" w:hAnsi="Times New Roman"/>
          <w:sz w:val="20"/>
          <w:szCs w:val="20"/>
          <w:color w:val="auto"/>
        </w:rPr>
      </w:pPr>
    </w:p>
    <w:p>
      <w:pPr>
        <w:jc w:val="both"/>
        <w:ind w:firstLine="656"/>
        <w:spacing w:after="0" w:line="263" w:lineRule="auto"/>
        <w:tabs>
          <w:tab w:leader="none" w:pos="127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color w:val="auto"/>
        </w:rPr>
        <w:t>. Headings are given to the sections and subsections of this Agreement solely as a convenience to facilitate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Such headings shall not be deemed in any way material or relevant to the construction or interpretation of this Agreement or any provision hereof.</w:t>
      </w:r>
    </w:p>
    <w:p>
      <w:pPr>
        <w:spacing w:after="0" w:line="175"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color w:val="auto"/>
        </w:rPr>
        <w:t>. This Agreement and all acts and transactions pursuant hereto and the rights and obligations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shall be governed, construed and interpreted in accordance with the laws of the State of Delaware, without giving effect to principles of conflicts of law. Furthermore, each of the parties irrevocably submits to the exclusive jurisdiction of the Court of Chancery of the State of Delaware or, to the extent the Court of Chancery does not have subject matter jurisdiction, the United States District Court for the District of Delaware and the appellate courts having jurisdiction of appeals in such courts for the purpose of any suit, action or other proceeding arising out of this Agreement. Each of the parties hereto further agrees that service of any process, summons, notice or document by U.S. registered mail or its foreign equivalent to such party’s respective address shall be effective service of process for any action, suit or proceeding with respect to any matters to which it has submitted to jurisdiction in this Section 12. Each of the parties hereto irrevocably and unconditionally waives any objection to the laying of venue of any action, suite or proceeding arising out of this Agreement in Delaware, and further irrevocably and unconditionally waives and agrees not to plead or claim in any such court that any such action, suit or proceeding brought in any such court has been brought in an inconvenient forum.</w:t>
      </w:r>
    </w:p>
    <w:p>
      <w:pPr>
        <w:spacing w:after="0" w:line="175" w:lineRule="exact"/>
        <w:rPr>
          <w:rFonts w:ascii="Times New Roman" w:cs="Times New Roman" w:eastAsia="Times New Roman" w:hAnsi="Times New Roman"/>
          <w:sz w:val="20"/>
          <w:szCs w:val="20"/>
          <w:color w:val="auto"/>
        </w:rPr>
      </w:pPr>
    </w:p>
    <w:p>
      <w:pPr>
        <w:ind w:firstLine="656"/>
        <w:spacing w:after="0" w:line="287" w:lineRule="auto"/>
        <w:tabs>
          <w:tab w:leader="none" w:pos="128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Rights as Employee</w:t>
      </w:r>
      <w:r>
        <w:rPr>
          <w:rFonts w:ascii="Times New Roman" w:cs="Times New Roman" w:eastAsia="Times New Roman" w:hAnsi="Times New Roman"/>
          <w:sz w:val="20"/>
          <w:szCs w:val="20"/>
          <w:color w:val="auto"/>
        </w:rPr>
        <w:t>. Nothing in this Agreement shall affect in any manner whatsoever the right or power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or an Affiliate to terminate Participant’s Service, for any reason, with or without Cause.</w:t>
      </w:r>
    </w:p>
    <w:p>
      <w:pPr>
        <w:spacing w:after="0" w:line="138"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Incapacity</w:t>
      </w:r>
      <w:r>
        <w:rPr>
          <w:rFonts w:ascii="Times New Roman" w:cs="Times New Roman" w:eastAsia="Times New Roman" w:hAnsi="Times New Roman"/>
          <w:sz w:val="20"/>
          <w:szCs w:val="20"/>
          <w:color w:val="auto"/>
        </w:rPr>
        <w:t>. If, in the judgment of the Plan Administrator (or with respect to Awards granted to Section 16 Officers,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Committee), any person entitled to a payment under the Plan is legally, physically, or mentally incapable of personally receiving and executing a receipt for any such payment, or if such person is a minor under state or other applicable law, the distribution or payment may be made to a guardian, custodian, or other legal representative of such person or such person’s property (or if none is known to the Company, to any other person or institution who has custody of the person or his or her property) and that payment shall constitute a full discharge of any obligation with respect to the amount paid.</w:t>
      </w:r>
    </w:p>
    <w:p>
      <w:pPr>
        <w:spacing w:after="0" w:line="186"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Interpretations</w:t>
      </w:r>
      <w:r>
        <w:rPr>
          <w:rFonts w:ascii="Times New Roman" w:cs="Times New Roman" w:eastAsia="Times New Roman" w:hAnsi="Times New Roman"/>
          <w:sz w:val="20"/>
          <w:szCs w:val="20"/>
          <w:color w:val="auto"/>
        </w:rPr>
        <w:t>. This Agreement is subject in all respects to the terms of the Plan. Terms used herein which are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shall have the respective meanings given to such terms in the Plan, unless otherwise defined herein. In the event that any provision of this Agreement is inconsistent with the terms of the Plan, the terms of the Plan shall govern. Any question of administration or interpretation arising under this Agreement shall be determined by the Plan Administrator (or with respect to Awards granted to Section 16 Officers, the Compensation Committee), and such determination shall be final, conclusive and binding upon all parties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31" w:name="page232"/>
    <w:bookmarkEnd w:id="231"/>
    <w:p>
      <w:pPr>
        <w:ind w:left="1300" w:hanging="644"/>
        <w:spacing w:after="0"/>
        <w:tabs>
          <w:tab w:leader="none" w:pos="13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Nature of Grant</w:t>
      </w:r>
      <w:r>
        <w:rPr>
          <w:rFonts w:ascii="Times New Roman" w:cs="Times New Roman" w:eastAsia="Times New Roman" w:hAnsi="Times New Roman"/>
          <w:sz w:val="20"/>
          <w:szCs w:val="20"/>
          <w:color w:val="auto"/>
        </w:rPr>
        <w:t>. In accepting the Award, Participant acknowledges, understands and agrees that:</w:t>
      </w:r>
    </w:p>
    <w:p>
      <w:pPr>
        <w:spacing w:after="0" w:line="233"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172" w:lineRule="exact"/>
        <w:rPr>
          <w:rFonts w:ascii="Times New Roman" w:cs="Times New Roman" w:eastAsia="Times New Roman" w:hAnsi="Times New Roman"/>
          <w:sz w:val="20"/>
          <w:szCs w:val="20"/>
          <w:b w:val="1"/>
          <w:bCs w:val="1"/>
          <w:color w:val="auto"/>
        </w:rPr>
      </w:pPr>
    </w:p>
    <w:p>
      <w:pPr>
        <w:jc w:val="both"/>
        <w:ind w:firstLine="1304"/>
        <w:spacing w:after="0" w:line="261" w:lineRule="auto"/>
        <w:tabs>
          <w:tab w:leader="none" w:pos="1943"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is operated and the Award is granted solely by the Company and only the Company is a party to this Agreement; accordingly, any rights Participant may have under this Agreement may be raised only against the Company but not any Affiliate (including, but not limited to, the Employer)</w:t>
      </w:r>
    </w:p>
    <w:p>
      <w:pPr>
        <w:spacing w:after="0" w:line="181" w:lineRule="exact"/>
        <w:rPr>
          <w:rFonts w:ascii="Times New Roman" w:cs="Times New Roman" w:eastAsia="Times New Roman" w:hAnsi="Times New Roman"/>
          <w:sz w:val="20"/>
          <w:szCs w:val="20"/>
          <w:b w:val="1"/>
          <w:bCs w:val="1"/>
          <w:color w:val="auto"/>
        </w:rPr>
      </w:pPr>
    </w:p>
    <w:p>
      <w:pPr>
        <w:ind w:right="20" w:firstLine="1304"/>
        <w:spacing w:after="0" w:line="269" w:lineRule="auto"/>
        <w:tabs>
          <w:tab w:leader="none" w:pos="1934"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Affiliate (including, but not limited to, the Employer) has any obligation to make any payment of any kind to Participant under this Agreement;</w:t>
      </w:r>
    </w:p>
    <w:p>
      <w:pPr>
        <w:spacing w:after="0" w:line="172" w:lineRule="exact"/>
        <w:rPr>
          <w:rFonts w:ascii="Times New Roman" w:cs="Times New Roman" w:eastAsia="Times New Roman" w:hAnsi="Times New Roman"/>
          <w:sz w:val="20"/>
          <w:szCs w:val="20"/>
          <w:b w:val="1"/>
          <w:bCs w:val="1"/>
          <w:color w:val="auto"/>
        </w:rPr>
      </w:pPr>
    </w:p>
    <w:p>
      <w:pPr>
        <w:ind w:firstLine="1304"/>
        <w:spacing w:after="0" w:line="295" w:lineRule="auto"/>
        <w:tabs>
          <w:tab w:leader="none" w:pos="1943" w:val="left"/>
        </w:tabs>
        <w:numPr>
          <w:ilvl w:val="1"/>
          <w:numId w:val="1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grant of the Award is exceptional, voluntary and occasional and does not create any contractual or other right to receive future grants of an Award or other compensation awards or benefits in lieu of Awards, even if Awards have been granted in the past;</w:t>
      </w:r>
    </w:p>
    <w:p>
      <w:pPr>
        <w:spacing w:after="0" w:line="151" w:lineRule="exact"/>
        <w:rPr>
          <w:rFonts w:ascii="Times New Roman" w:cs="Times New Roman" w:eastAsia="Times New Roman" w:hAnsi="Times New Roman"/>
          <w:sz w:val="19"/>
          <w:szCs w:val="19"/>
          <w:b w:val="1"/>
          <w:bCs w:val="1"/>
          <w:color w:val="auto"/>
        </w:rPr>
      </w:pPr>
    </w:p>
    <w:p>
      <w:pPr>
        <w:ind w:firstLine="1304"/>
        <w:spacing w:after="0" w:line="283" w:lineRule="auto"/>
        <w:tabs>
          <w:tab w:leader="none" w:pos="1934"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decisions with respect to future Awards or other grants, if any, will be at the sole discretion of the Plan Administrator (or with respect to Awards granted to Section 16 Officers, the Compensation Committee);</w:t>
      </w:r>
    </w:p>
    <w:p>
      <w:pPr>
        <w:spacing w:after="0" w:line="146"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Participant is voluntarily participating in the Plan;</w:t>
      </w:r>
    </w:p>
    <w:p>
      <w:pPr>
        <w:spacing w:after="0" w:line="229" w:lineRule="exact"/>
        <w:rPr>
          <w:rFonts w:ascii="Times New Roman" w:cs="Times New Roman" w:eastAsia="Times New Roman" w:hAnsi="Times New Roman"/>
          <w:sz w:val="20"/>
          <w:szCs w:val="20"/>
          <w:b w:val="1"/>
          <w:bCs w:val="1"/>
          <w:color w:val="auto"/>
        </w:rPr>
      </w:pPr>
    </w:p>
    <w:p>
      <w:pPr>
        <w:ind w:firstLine="1304"/>
        <w:spacing w:after="0" w:line="269" w:lineRule="auto"/>
        <w:tabs>
          <w:tab w:leader="none" w:pos="1932"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Award and the Share Units subject to the Award, and the income from and value of same, are not intended to replace any pension rights or compensation</w:t>
      </w:r>
    </w:p>
    <w:p>
      <w:pPr>
        <w:spacing w:after="0" w:line="172" w:lineRule="exact"/>
        <w:rPr>
          <w:rFonts w:ascii="Times New Roman" w:cs="Times New Roman" w:eastAsia="Times New Roman" w:hAnsi="Times New Roman"/>
          <w:sz w:val="20"/>
          <w:szCs w:val="20"/>
          <w:b w:val="1"/>
          <w:bCs w:val="1"/>
          <w:color w:val="auto"/>
        </w:rPr>
      </w:pPr>
    </w:p>
    <w:p>
      <w:pPr>
        <w:jc w:val="both"/>
        <w:ind w:firstLine="1304"/>
        <w:spacing w:after="0" w:line="281" w:lineRule="auto"/>
        <w:tabs>
          <w:tab w:leader="none" w:pos="1943" w:val="left"/>
        </w:tabs>
        <w:numPr>
          <w:ilvl w:val="1"/>
          <w:numId w:val="1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Award and the Shares subject to the Award,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w:t>
      </w:r>
    </w:p>
    <w:p>
      <w:pPr>
        <w:spacing w:after="0" w:line="164" w:lineRule="exact"/>
        <w:rPr>
          <w:rFonts w:ascii="Times New Roman" w:cs="Times New Roman" w:eastAsia="Times New Roman" w:hAnsi="Times New Roman"/>
          <w:sz w:val="19"/>
          <w:szCs w:val="19"/>
          <w:b w:val="1"/>
          <w:bCs w:val="1"/>
          <w:color w:val="auto"/>
        </w:rPr>
      </w:pPr>
    </w:p>
    <w:p>
      <w:pPr>
        <w:jc w:val="both"/>
        <w:ind w:firstLine="1304"/>
        <w:spacing w:after="0" w:line="261" w:lineRule="auto"/>
        <w:tabs>
          <w:tab w:leader="none" w:pos="1942"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agreed with the Company in writing, the Award and the Share Units subject to the Award, and the income from and value of same, are not granted as consideration for, or in connection with, the service Participant may provide as a director of an Affiliate;</w:t>
      </w:r>
    </w:p>
    <w:p>
      <w:pPr>
        <w:spacing w:after="0" w:line="194"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future value of the Share Units underlying the Award is unknown, indeterminable and cannot be predicted with</w:t>
      </w:r>
    </w:p>
    <w:p>
      <w:pPr>
        <w:spacing w:after="0" w:line="28"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certainty;</w:t>
      </w:r>
    </w:p>
    <w:p>
      <w:pPr>
        <w:spacing w:after="0" w:line="213"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943"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claim or entitlement to compensation or damages shall arise from forfeiture of the Award resulting from termination of Participant’s employment by the Employer (for any reason whatsoever and whether or not later found to be invalid or in breach of employment laws in the jurisdiction where Participant is employed or the terms of Participant’s employment agreement, if any) or from the application of any clawback or recoupment policy adopted by the Company or imposed by applicable law; and</w:t>
      </w:r>
    </w:p>
    <w:p>
      <w:pPr>
        <w:spacing w:after="0" w:line="187" w:lineRule="exact"/>
        <w:rPr>
          <w:rFonts w:ascii="Times New Roman" w:cs="Times New Roman" w:eastAsia="Times New Roman" w:hAnsi="Times New Roman"/>
          <w:sz w:val="20"/>
          <w:szCs w:val="20"/>
          <w:b w:val="1"/>
          <w:bCs w:val="1"/>
          <w:color w:val="auto"/>
        </w:rPr>
      </w:pPr>
    </w:p>
    <w:p>
      <w:pPr>
        <w:jc w:val="both"/>
        <w:ind w:firstLine="1304"/>
        <w:spacing w:after="0" w:line="261" w:lineRule="auto"/>
        <w:tabs>
          <w:tab w:leader="none" w:pos="2000"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neither the Company, the Employer nor any other Affiliate shall be liable for any foreign exchange rate fluctuation between Participant’s local currency and the United States Dollar that may affect the value of the Share Units or of any amounts due to Participant pursuant to the settlement of the Award or the subsequent sale of any Shares acquired upon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9" w:right="339" w:bottom="1440" w:gutter="0" w:footer="0" w:header="0"/>
        </w:sectPr>
      </w:pPr>
    </w:p>
    <w:bookmarkStart w:id="232" w:name="page233"/>
    <w:bookmarkEnd w:id="232"/>
    <w:p>
      <w:pPr>
        <w:jc w:val="both"/>
        <w:ind w:firstLine="656"/>
        <w:spacing w:after="0" w:line="260" w:lineRule="auto"/>
        <w:tabs>
          <w:tab w:leader="none" w:pos="1287"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Advice Regarding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is not providing any tax, legal or financial advice, nor is the Company 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recommendations regarding Participant’s participation in the Plan, or Participant’s acquisition or sale of the underlying Shares. Participant is hereby advised to consult with Participant’s own personal tax, legal and financial advisors regarding participation in the Plan before taking any action related to the Plan.</w:t>
      </w:r>
    </w:p>
    <w:p>
      <w:pPr>
        <w:spacing w:after="0" w:line="16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 Information and Consent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The Company is located at 4225 Executive Square, Suite 1600, La Jolla,</w:t>
      </w:r>
    </w:p>
    <w:p>
      <w:pPr>
        <w:spacing w:after="0" w:line="32" w:lineRule="exact"/>
        <w:rPr>
          <w:rFonts w:ascii="Times New Roman" w:cs="Times New Roman" w:eastAsia="Times New Roman" w:hAnsi="Times New Roman"/>
          <w:sz w:val="20"/>
          <w:szCs w:val="20"/>
          <w:color w:val="auto"/>
        </w:rPr>
      </w:pPr>
    </w:p>
    <w:p>
      <w:pPr>
        <w:jc w:val="both"/>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California 92037 and grants Awards to employees of the Company and its Affiliates, at its sole discretion. If Participant would like to participate in the Plan, Participant should review the following information about the Company’s data processing practices and declare Participant’s consent.</w:t>
      </w:r>
    </w:p>
    <w:p>
      <w:pPr>
        <w:spacing w:after="0" w:line="184"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1"/>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The Company collects, processes and uses personal data of Participant, including name, home address, email address and telephone number, date of birth, social insurance, passport or other identification number, salary, citizenship, job title, any Shares or directorships held in the Company, and details of all Awards canceled, vested, or outstanding in Participant’s favor, which the Company receives from Participant or the Employer. If the Company offers Participant an Award grant under the Plan, then the Company will collect Participant’s personal data for purposes of allocating shares and implementing, administering and managing the Plan. The Company’s legal basis for the processing of Participant’s personal data will be Participant’s consent.</w:t>
      </w:r>
    </w:p>
    <w:p>
      <w:pPr>
        <w:spacing w:after="0" w:line="186"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943" w:val="left"/>
        </w:tabs>
        <w:numPr>
          <w:ilvl w:val="1"/>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Participant’s personal data to Morgan Stanley Smith Barney LLC an independent service provider based in the United States which assists the Company with the implementation, administration and management of the Plan, and any successor thereto. In the future, the Company may select a different service provider and share Participant’s data with another company that serves in a similar manner. The Company’s service provider will open an account for Participant to receive and trade Shares. Participant will be asked to agree on separate terms and data processing practices with the service provider, which is a condition of Participant’s ability to participate in the Plan.</w:t>
      </w:r>
    </w:p>
    <w:p>
      <w:pPr>
        <w:spacing w:after="0" w:line="173"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934" w:val="left"/>
        </w:tabs>
        <w:numPr>
          <w:ilvl w:val="1"/>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its service providers are based in the United States. If Participant is outside the United States, Participant should note that Participant’s country has enacted data privacy laws that are different from the United States. The transfer of Participant’s personal data by the Company is not subject to appropriate safeguards and is based solely on Participant’s consent. Participant understands and acknowledges that this might result in certain risks to the protection of Participant’s personal data due to the lack of legal principles governing the processing of the personal data, oversight by a supervisory authority or enforceable data subject rights in the United States.</w:t>
      </w:r>
    </w:p>
    <w:p>
      <w:pPr>
        <w:spacing w:after="0" w:line="186"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943" w:val="left"/>
        </w:tabs>
        <w:numPr>
          <w:ilvl w:val="1"/>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u w:val="single" w:color="auto"/>
          <w:color w:val="auto"/>
        </w:rPr>
        <w:t>Data Retention</w:t>
      </w:r>
      <w:r>
        <w:rPr>
          <w:rFonts w:ascii="Times New Roman" w:cs="Times New Roman" w:eastAsia="Times New Roman" w:hAnsi="Times New Roman"/>
          <w:sz w:val="20"/>
          <w:szCs w:val="20"/>
          <w:b w:val="1"/>
          <w:bCs w:val="1"/>
          <w:i w:val="1"/>
          <w:iCs w:val="1"/>
          <w:color w:val="auto"/>
        </w:rPr>
        <w:t>. The Company will use Participant’s personal data only as long as is necessary to implement, administer and manage Participant’s participation in the Plan or as required to comply with legal or regulatory obligations, including under tax and security laws. This period may extend beyond the date of Participant’s termination. When the Company no longer needs Participant’s personal data, the Company will remove it from its systems. The Company may keep data longer to satisfy legal or regulatory obligations, and the Company’s legal basis would be compliance with the relevant laws or regulations.</w:t>
      </w:r>
    </w:p>
    <w:p>
      <w:pPr>
        <w:spacing w:after="0" w:line="187" w:lineRule="exact"/>
        <w:rPr>
          <w:rFonts w:ascii="Times New Roman" w:cs="Times New Roman" w:eastAsia="Times New Roman" w:hAnsi="Times New Roman"/>
          <w:sz w:val="20"/>
          <w:szCs w:val="20"/>
          <w:b w:val="1"/>
          <w:bCs w:val="1"/>
          <w:color w:val="auto"/>
        </w:rPr>
      </w:pPr>
    </w:p>
    <w:p>
      <w:pPr>
        <w:jc w:val="both"/>
        <w:ind w:firstLine="1304"/>
        <w:spacing w:after="0" w:line="263" w:lineRule="auto"/>
        <w:tabs>
          <w:tab w:leader="none" w:pos="1934" w:val="left"/>
        </w:tabs>
        <w:numPr>
          <w:ilvl w:val="1"/>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Participant’s participation in the Plan and Participant’s grant of consent is purely voluntary. Participant may deny or withdraw Participant’s consent at any time. If Participant does not consent, or if Participant withdraws Participant’s consent, Participant cannot participate in the Plan.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9" w:right="339" w:bottom="1440" w:gutter="0" w:footer="0" w:header="0"/>
        </w:sectPr>
      </w:pPr>
    </w:p>
    <w:bookmarkStart w:id="233" w:name="page234"/>
    <w:bookmarkEnd w:id="233"/>
    <w:p>
      <w:pPr>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would not affect Participant’s salary from or employment with the Employer; Participant would merely forfeit the opportunities associated with the Plan.</w:t>
      </w:r>
    </w:p>
    <w:p>
      <w:pPr>
        <w:spacing w:after="0" w:line="138" w:lineRule="exact"/>
        <w:rPr>
          <w:sz w:val="20"/>
          <w:szCs w:val="20"/>
          <w:color w:val="auto"/>
        </w:rPr>
      </w:pPr>
    </w:p>
    <w:p>
      <w:pPr>
        <w:jc w:val="both"/>
        <w:ind w:firstLine="1304"/>
        <w:spacing w:after="0" w:line="254" w:lineRule="auto"/>
        <w:tabs>
          <w:tab w:leader="none" w:pos="1939" w:val="left"/>
        </w:tabs>
        <w:numPr>
          <w:ilvl w:val="1"/>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u w:val="single" w:color="auto"/>
          <w:color w:val="auto"/>
        </w:rPr>
        <w:t>Data Subject Rights</w:t>
      </w:r>
      <w:r>
        <w:rPr>
          <w:rFonts w:ascii="Times New Roman" w:cs="Times New Roman" w:eastAsia="Times New Roman" w:hAnsi="Times New Roman"/>
          <w:sz w:val="20"/>
          <w:szCs w:val="20"/>
          <w:b w:val="1"/>
          <w:bCs w:val="1"/>
          <w:i w:val="1"/>
          <w:iCs w:val="1"/>
          <w:color w:val="auto"/>
        </w:rPr>
        <w:t>. Participant has a number of rights under data privacy laws in Participant’s country. Depending on where Participant is based, Participant’s rights may include the right to (a) to request access or copies of personal data the Company’s processes, (b) rectification of incorrect data, (c) deletion of data, (d) restrictions on processing, (e) portability of data, (f) to lodge complaints with competent authorities in Participant’s country, and/or (g) a list with the names and addresses of any potential recipients of Participant’s personal data. To receive clarification regarding Participant’s rights or to exercise Participant’s rights please contact privacy@stepstonegroup.com.</w:t>
      </w:r>
    </w:p>
    <w:p>
      <w:pPr>
        <w:spacing w:after="0" w:line="186"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Language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acknowledges that Participant is proficient in the English language, or has consulted with an advisor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 is proficient in the English language, so as to enable Participant to understand the provisions of this Agreement and the Plan. If Participant has received this Agreement or any other document related to the Plan translated into a language other than English and if the meaning of the translated version is different than the English version, the English version will control, unless otherwise required by applicable law.</w:t>
      </w:r>
    </w:p>
    <w:p>
      <w:pPr>
        <w:spacing w:after="0" w:line="187" w:lineRule="exact"/>
        <w:rPr>
          <w:rFonts w:ascii="Times New Roman" w:cs="Times New Roman" w:eastAsia="Times New Roman" w:hAnsi="Times New Roman"/>
          <w:sz w:val="20"/>
          <w:szCs w:val="20"/>
          <w:color w:val="auto"/>
        </w:rPr>
      </w:pPr>
    </w:p>
    <w:p>
      <w:pPr>
        <w:jc w:val="both"/>
        <w:ind w:firstLine="656"/>
        <w:spacing w:after="0" w:line="260" w:lineRule="auto"/>
        <w:tabs>
          <w:tab w:leader="none" w:pos="128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Participation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may, in its sole discretion, decide to deliver any documents related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current or 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64" w:lineRule="exact"/>
        <w:rPr>
          <w:rFonts w:ascii="Times New Roman" w:cs="Times New Roman" w:eastAsia="Times New Roman" w:hAnsi="Times New Roman"/>
          <w:sz w:val="20"/>
          <w:szCs w:val="20"/>
          <w:color w:val="auto"/>
        </w:rPr>
      </w:pPr>
    </w:p>
    <w:p>
      <w:pPr>
        <w:ind w:firstLine="656"/>
        <w:spacing w:after="0" w:line="287" w:lineRule="auto"/>
        <w:tabs>
          <w:tab w:leader="none" w:pos="128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provisions of this Agreement are severable and if any one or more provisions are determined to be illegal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otherwise unenforceable, in whole or in part, the remaining provisions shall nevertheless be binding and enforceable.</w:t>
      </w:r>
    </w:p>
    <w:p>
      <w:pPr>
        <w:spacing w:after="0" w:line="138"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Appendix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 provisions in this Agreement, the Award grant shall be subject to any additional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set forth in any Appendix to this Agreement for Participant’s country. Moreover, if Participant relocate to one of the countries included in the Appendix, the additional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67" w:lineRule="exact"/>
        <w:rPr>
          <w:rFonts w:ascii="Times New Roman" w:cs="Times New Roman" w:eastAsia="Times New Roman" w:hAnsi="Times New Roman"/>
          <w:sz w:val="20"/>
          <w:szCs w:val="20"/>
          <w:color w:val="auto"/>
        </w:rPr>
      </w:pPr>
    </w:p>
    <w:p>
      <w:pPr>
        <w:jc w:val="both"/>
        <w:ind w:firstLine="656"/>
        <w:spacing w:after="0" w:line="260" w:lineRule="auto"/>
        <w:tabs>
          <w:tab w:leader="none" w:pos="128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reserves the right to impose other requirements on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Award and on any Shares acquired under the Plan, to the extent the Company determines it is necessary or advisable for legal or administrative reasons, and Participant agrees to sign any additional agreements or undertakings that may be necessary to accomplish the forgoing.</w:t>
      </w:r>
    </w:p>
    <w:p>
      <w:pPr>
        <w:spacing w:after="0" w:line="177"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w:t>
      </w:r>
      <w:r>
        <w:rPr>
          <w:rFonts w:ascii="Times New Roman" w:cs="Times New Roman" w:eastAsia="Times New Roman" w:hAnsi="Times New Roman"/>
          <w:sz w:val="20"/>
          <w:szCs w:val="20"/>
          <w:color w:val="auto"/>
        </w:rPr>
        <w:t>. Participant acknowledges that a waiver by the Company of breach of any provision of this Agreement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operate or be construed as a waiver of any other provision of this Agreement, or of any subsequent breach by Participant or any other Participant.</w:t>
      </w:r>
    </w:p>
    <w:p>
      <w:pPr>
        <w:spacing w:after="0" w:line="161" w:lineRule="exact"/>
        <w:rPr>
          <w:rFonts w:ascii="Times New Roman" w:cs="Times New Roman" w:eastAsia="Times New Roman" w:hAnsi="Times New Roman"/>
          <w:sz w:val="20"/>
          <w:szCs w:val="20"/>
          <w:color w:val="auto"/>
        </w:rPr>
      </w:pPr>
    </w:p>
    <w:p>
      <w:pPr>
        <w:jc w:val="both"/>
        <w:ind w:firstLine="656"/>
        <w:spacing w:after="0" w:line="260" w:lineRule="auto"/>
        <w:tabs>
          <w:tab w:leader="none" w:pos="128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Insider Trading/Market Abuse</w:t>
      </w:r>
      <w:r>
        <w:rPr>
          <w:rFonts w:ascii="Times New Roman" w:cs="Times New Roman" w:eastAsia="Times New Roman" w:hAnsi="Times New Roman"/>
          <w:sz w:val="20"/>
          <w:szCs w:val="20"/>
          <w:color w:val="auto"/>
        </w:rPr>
        <w:t>. Participant acknowledges that, depending on Participant’s or Participant’s broker’s country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the country in which Shares are listed, Participant may be subject to insider trading restrictions and/or market abuse laws which may impact Participant’s ability to accept, acquire, sell, or otherwise dispose of Share Units, Shares, rights to Shares (e.g., Awards) or rights linked to the value of Shares during such times Participant is considered to have “inside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9" w:right="339" w:bottom="1440" w:gutter="0" w:footer="0" w:header="0"/>
        </w:sectPr>
      </w:pPr>
    </w:p>
    <w:bookmarkStart w:id="234" w:name="page235"/>
    <w:bookmarkEnd w:id="234"/>
    <w:p>
      <w:pPr>
        <w:jc w:val="both"/>
        <w:spacing w:after="0" w:line="253" w:lineRule="auto"/>
        <w:rPr>
          <w:sz w:val="20"/>
          <w:szCs w:val="20"/>
          <w:color w:val="auto"/>
        </w:rPr>
      </w:pPr>
      <w:r>
        <w:rPr>
          <w:rFonts w:ascii="Times New Roman" w:cs="Times New Roman" w:eastAsia="Times New Roman" w:hAnsi="Times New Roman"/>
          <w:sz w:val="20"/>
          <w:szCs w:val="20"/>
          <w:color w:val="auto"/>
        </w:rPr>
        <w:t>information” regarding the Company as defined in the laws or regulations in the applicable jurisdictions. Local insider trading laws and regulations may prohibit the cancellation or amendment of orders Participant placed before possessing inside information. Furthermore, Participant could be prohibited from (i) disclosing the inside information to any third party (other than on a “need to know” basis) and (ii) “tipping” third parties or causing them otherwise to buy or sell securities. Keep in mind third parties include fellow employees. Any restrictions under these laws or regulations are separate from and in addition to any restrictions that may be imposed under any applicable insider trading policy of the Company. Participant is responsible for complying with any restrictions and should speak to personal advisors on this matter.</w:t>
      </w:r>
    </w:p>
    <w:p>
      <w:pPr>
        <w:spacing w:after="0" w:line="175" w:lineRule="exact"/>
        <w:rPr>
          <w:sz w:val="20"/>
          <w:szCs w:val="20"/>
          <w:color w:val="auto"/>
        </w:rPr>
      </w:pPr>
    </w:p>
    <w:p>
      <w:pPr>
        <w:jc w:val="both"/>
        <w:ind w:firstLine="656"/>
        <w:spacing w:after="0" w:line="252" w:lineRule="auto"/>
        <w:tabs>
          <w:tab w:leader="none" w:pos="128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Exchange Control, Foreign Asset/Account and/or Tax Reporting</w:t>
      </w:r>
      <w:r>
        <w:rPr>
          <w:rFonts w:ascii="Times New Roman" w:cs="Times New Roman" w:eastAsia="Times New Roman" w:hAnsi="Times New Roman"/>
          <w:sz w:val="20"/>
          <w:szCs w:val="20"/>
          <w:color w:val="auto"/>
        </w:rPr>
        <w:t>. Depending upon the country to which laws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subject to, Participant may have certain foreign asset/account and/or tax reporting requirements that may impact Participant’s ability to acquire or hold Shares under the Plan or cash received from participating in the Plan (including from any dividends or sale proceeds arising from the sale of Shares) in a brokerage or bank account outside Participant’s country of residence. Participant’s country may require that Participant report such accounts, assets or transactions to the applicable authorities in Participant’s country. Participant also may be required to repatriate cash received from participating in the Plan to Participant’s country within a certain period of time after receipt. Participant is responsible for knowledge of and compliance with any such regulations and should speak with personal tax, legal and financial advisors regarding same.</w:t>
      </w:r>
    </w:p>
    <w:p>
      <w:pPr>
        <w:spacing w:after="0" w:line="187" w:lineRule="exact"/>
        <w:rPr>
          <w:rFonts w:ascii="Times New Roman" w:cs="Times New Roman" w:eastAsia="Times New Roman" w:hAnsi="Times New Roman"/>
          <w:sz w:val="20"/>
          <w:szCs w:val="20"/>
          <w:color w:val="auto"/>
        </w:rPr>
      </w:pPr>
    </w:p>
    <w:p>
      <w:pPr>
        <w:ind w:firstLine="656"/>
        <w:spacing w:after="0" w:line="287" w:lineRule="auto"/>
        <w:tabs>
          <w:tab w:leader="none" w:pos="128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For the convenience of the parties and to facilitate execution, this Agreement may be executed in two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more counterparts, each of which shall be deemed an original, but all of which shall constitute one and the same document.</w:t>
      </w:r>
    </w:p>
    <w:p>
      <w:pPr>
        <w:spacing w:after="0" w:line="142" w:lineRule="exact"/>
        <w:rPr>
          <w:rFonts w:ascii="Times New Roman" w:cs="Times New Roman" w:eastAsia="Times New Roman" w:hAnsi="Times New Roman"/>
          <w:sz w:val="20"/>
          <w:szCs w:val="20"/>
          <w:color w:val="auto"/>
        </w:rPr>
      </w:pPr>
    </w:p>
    <w:p>
      <w:pPr>
        <w:ind w:left="52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 * *</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By Participant’s signature and the signature of the Company’s representative on the Notice, Participant and the Company agree that this Award is granted under and governed by the terms and conditions of the Plan, the Notice and this Agreement. Participant has reviewed the Plan, the Notice and this Agreement in their entirety, has had an opportunity to obtain the advice of counsel prior to executing the Notice, and fully understands all provisions of the Plan, the Notice and this Agreement. Participant hereby agrees to accept as binding, conclusive and final all decisions or interpretations of the Plan Administrator (or with respect to Awards granted to Section 16 Officers, the Compensation Committee) upon any questions relating to the Plan, the Notice and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EVERGREEN FUND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AWARD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Terms and Conditions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Appendix includes additional terms and conditions that govern the Award granted to Participant under the StepStone Group LP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Evergreen Fund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if Participant works and/or resides in one of the countries listed below. These terms and conditions are in addition to, or, if so indicated, in place of the terms and conditions set forth in the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Capitalized terms used but not defined in this Appendix have the meanings set forth in the Plan, the Award Notice (the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and/or the Agreement.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Participant (i) is a citizen or resident of a country other than the one in which Participant is currently working and/or residing, (ii) is considered a resident of another country for local law purposes, or (iii) transfers employer and/or residency between countries after the Date of Grant, the Company shall, in its sole discretion, determine to what extent the terms and conditions contained herein shall apply to Participant under these circumstances.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Notifications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This Appendix also includes information regarding securities laws, exchange controls and certain other issues of which Participant should be aware with respect to Participant’s participation in the Plan. The information is based on the securities laws, exchange controls and other laws in effect in the respective countries as of </w:t>
      </w:r>
      <w:r>
        <w:rPr>
          <w:rFonts w:ascii="Times New Roman" w:cs="Times New Roman" w:eastAsia="Times New Roman" w:hAnsi="Times New Roman"/>
          <w:sz w:val="20"/>
          <w:szCs w:val="20"/>
          <w:b w:val="1"/>
          <w:bCs w:val="1"/>
          <w:color w:val="auto"/>
        </w:rPr>
        <w:t>February 2025</w:t>
      </w:r>
      <w:r>
        <w:rPr>
          <w:rFonts w:ascii="Times New Roman" w:cs="Times New Roman" w:eastAsia="Times New Roman" w:hAnsi="Times New Roman"/>
          <w:sz w:val="20"/>
          <w:szCs w:val="20"/>
          <w:color w:val="auto"/>
        </w:rPr>
        <w:t>. Such laws are often complex and change frequently. As a result, the Company strongly recommends Participant not rely on the information in this Appendix as the only source of information relating to the consequences of Participant’s participation in the Plan because the information may be out of date at the time Participant vests in the Award, acquires Shares or sells Shares acquired under the Plan.</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Participant’s particular situation, and the Company is not in a position to assure Participant of a particular result. Accordingly, Participant is advised to seek appropriate professional advice as to how the relevant laws in Participant’s country(ies) may apply to his or her situation.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Finally, if Participant (i) is a citizen or resident of a country other than the one in which Participant is currently working and/or residing, (ii) transfers after the Date of Grant or (iii) is considered a resident of another country for local law purposes, the information contained herein may not apply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9"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the Award is being made pursuant to Division 1A, Part 7.12 of the Corporations Act 2001 (Cth).</w:t>
      </w:r>
    </w:p>
    <w:p>
      <w:pPr>
        <w:spacing w:after="0" w:line="25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Tax Notification. </w:t>
      </w:r>
      <w:r>
        <w:rPr>
          <w:rFonts w:ascii="Times New Roman" w:cs="Times New Roman" w:eastAsia="Times New Roman" w:hAnsi="Times New Roman"/>
          <w:sz w:val="20"/>
          <w:szCs w:val="20"/>
          <w:color w:val="auto"/>
        </w:rPr>
        <w:t>The Plan is a plan to which Subdivision 83A-C of the Income Tax Assessment Act 1997 (Cth) applies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in the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Plan Document Acknowledgement. </w:t>
      </w:r>
      <w:r>
        <w:rPr>
          <w:rFonts w:ascii="Times New Roman" w:cs="Times New Roman" w:eastAsia="Times New Roman" w:hAnsi="Times New Roman"/>
          <w:sz w:val="19"/>
          <w:szCs w:val="19"/>
          <w:color w:val="auto"/>
        </w:rPr>
        <w:t>Participant acknowledges that by accepting the Award, Participant has been given access to the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has reviewed the Plan, the Agreement and Notice in their entirety and fully understands and accepts all provisions of the Plan, the Agreement and the Notice. Further Participant specifically and expressly approves the following sections of the Agreement: (2) Settlement of Awards;</w:t>
      </w:r>
    </w:p>
    <w:p>
      <w:pPr>
        <w:jc w:val="both"/>
        <w:ind w:firstLine="8"/>
        <w:spacing w:after="0" w:line="253" w:lineRule="auto"/>
        <w:tabs>
          <w:tab w:leader="none" w:pos="28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Responsibility for Taxes; (10) Entire Agreement; Enforcement of Rights; (12) Governing Law and Venue; (16) Nature of Grant; (18) Data Privacy Information and Consent; (19) Language; (20) Electronic Delivery and Participation; (22) Appendix; and (23) Imposition of Other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w:t>
      </w:r>
      <w:r>
        <w:rPr>
          <w:rFonts w:ascii="Times New Roman" w:cs="Times New Roman" w:eastAsia="Times New Roman" w:hAnsi="Times New Roman"/>
          <w:sz w:val="20"/>
          <w:szCs w:val="20"/>
          <w:color w:val="auto"/>
        </w:rPr>
        <w:t>To the extent that Participant holds investments abroad or foreign financial assets that may generate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taxable income in Italy (such as Shares acquired under the Plan) during the calendar year, Participant is required to report them on Participant’s annual tax return (UNICO Form, RW Schedule), or on a special form if no tax return is due and pay the foreign financial assets tax. The tax is assessed at the end of the calendar year or on the last day the Shares are held (in such case, or when the Shares are acquired during the course of the year, the tax is levied in proportion to the number of days the Shares are held over the calendar year). No tax payment duties arise if the amount of the foreign financial assets tax calculated on all financial assets held abroad does not exceed a certain threshold.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the Award under the Plan is being made pursuant to the “Qualifying Person” exemption”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273(1)(f) of the Securities and Futures Act (Chap. 289, 2006 Ed.) (“</w:t>
      </w:r>
      <w:r>
        <w:rPr>
          <w:rFonts w:ascii="Times New Roman" w:cs="Times New Roman" w:eastAsia="Times New Roman" w:hAnsi="Times New Roman"/>
          <w:sz w:val="20"/>
          <w:szCs w:val="20"/>
          <w:b w:val="1"/>
          <w:bCs w:val="1"/>
          <w:i w:val="1"/>
          <w:iCs w:val="1"/>
          <w:color w:val="auto"/>
        </w:rPr>
        <w:t>SFA</w:t>
      </w:r>
      <w:r>
        <w:rPr>
          <w:rFonts w:ascii="Times New Roman" w:cs="Times New Roman" w:eastAsia="Times New Roman" w:hAnsi="Times New Roman"/>
          <w:sz w:val="20"/>
          <w:szCs w:val="20"/>
          <w:color w:val="auto"/>
        </w:rPr>
        <w:t>”) and is not made with a view to the Shares being subsequently offered for sale to any other party. The Plan has not been lodged or registered as a prospectus with the Monetary Authority of Singapore.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Participant should note that the Award is subject to section 257 of the SFA and Participant will not be able to make (i) any subsequent sale of the Shares in Singapore or (ii) any offer of such subsequent sale of the Shares subject to the Award in Singapore, unless such sale or offer is made:</w:t>
      </w:r>
    </w:p>
    <w:p>
      <w:pPr>
        <w:spacing w:after="0" w:line="208" w:lineRule="exact"/>
        <w:rPr>
          <w:sz w:val="20"/>
          <w:szCs w:val="20"/>
          <w:color w:val="auto"/>
        </w:rPr>
      </w:pPr>
    </w:p>
    <w:p>
      <w:pPr>
        <w:ind w:left="640" w:hanging="308"/>
        <w:spacing w:after="0"/>
        <w:tabs>
          <w:tab w:leader="none" w:pos="6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six months after the Date of Grant;</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exemptions under Part XIII Division (1) Subdivision (4) (other than section 280) of the SFA (Chapter 289, 2006 Ed.); or</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09" w:right="339" w:bottom="1440" w:gutter="0" w:footer="0" w:header="0"/>
          <w:type w:val="continuous"/>
        </w:sectPr>
      </w:pPr>
    </w:p>
    <w:bookmarkStart w:id="237" w:name="page238"/>
    <w:bookmarkEnd w:id="237"/>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(c) pursuant to, and in accordance with the conditions of, any other applicable provisions of the SFA.</w:t>
      </w: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Director Notification Information. </w:t>
      </w:r>
      <w:r>
        <w:rPr>
          <w:rFonts w:ascii="Times New Roman" w:cs="Times New Roman" w:eastAsia="Times New Roman" w:hAnsi="Times New Roman"/>
          <w:sz w:val="19"/>
          <w:szCs w:val="19"/>
          <w:color w:val="auto"/>
        </w:rPr>
        <w:t>If Participant holds the position of “director”</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local Affiliate in Singapore, Participant must give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written notice to the Affiliate whenever Participant receives and/or disposes of an interest (e.g., an Award or Shares acquired under the Plan, etc.) in the Affiliate or a related corporation, such as the Company, regardless of whether Participant is resident or employed in Singapore.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Written notice must be given within two (2) business days either after the director becomes aware of the change in respect of the particulars of any of the aforesaid, the date on which the director becomes such a director or the date on which the director becomes a holder of, or acquires an interest in, the Shares, debentures, rights, options, contracts, participatory interests, other securities or securities-based derivatives contracts, whichever last occurs.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There is no prescribed form for such disclosure, although in practice, the company secretary normally would prepare a formatted disclosure form that requests the following information: equity award granted, number of shares acquired, description of consideration, if applicable, and the date of the transaction.</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A director shall be deemed to have an interest in securities or securities-based derivatives contracts referred to above if a family member of the director (not being him or herself a director), holds or has an interest in those securities or securities-based derivatives contracts; and any contract entered into by, any assignment or right of subscription made or exercised by, or any grant made to, a family member of a director of a corporation (not being him or herself a director) shall be deemed to have been entered into by, made or exercised by or made to the director. A “family member” means a spouse, or a son, adopted son, step-son, daughter, adopted daughter or step-daughter below the age of 21 years.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Responsibility for Taxes. </w:t>
      </w:r>
      <w:r>
        <w:rPr>
          <w:rFonts w:ascii="Times New Roman" w:cs="Times New Roman" w:eastAsia="Times New Roman" w:hAnsi="Times New Roman"/>
          <w:sz w:val="20"/>
          <w:szCs w:val="20"/>
          <w:color w:val="auto"/>
        </w:rPr>
        <w:t>The following provision supplements Section 7 (Responsibility for Taxes) of the Agreement.</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Without limitation to Section 7 of the Agreement, Participant agrees to be liable for any Tax-Related Items and hereby covenants to pay any such Tax-Related Items, as and when requested by the Company or the Employer or by HM Revenue &amp; Customs (“</w:t>
      </w:r>
      <w:r>
        <w:rPr>
          <w:rFonts w:ascii="Times New Roman" w:cs="Times New Roman" w:eastAsia="Times New Roman" w:hAnsi="Times New Roman"/>
          <w:sz w:val="20"/>
          <w:szCs w:val="20"/>
          <w:b w:val="1"/>
          <w:bCs w:val="1"/>
          <w:i w:val="1"/>
          <w:iCs w:val="1"/>
          <w:color w:val="auto"/>
        </w:rPr>
        <w:t>HMRC</w:t>
      </w:r>
      <w:r>
        <w:rPr>
          <w:rFonts w:ascii="Times New Roman" w:cs="Times New Roman" w:eastAsia="Times New Roman" w:hAnsi="Times New Roman"/>
          <w:sz w:val="20"/>
          <w:szCs w:val="20"/>
          <w:color w:val="auto"/>
        </w:rPr>
        <w:t>”) (or any other tax authority or any other relevant authority). Participant agrees to indemnify and keep indemnified the Company and the Employer against any Tax-Related Items that they are required to pay or withhold or have paid or will pay to HMRC (or any other tax authority or any other relevant authority) on Participant’s behalf.</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the foregoing, if Participant is an executive officer or director of StepStone Group, Inc. (as within the meaning of Section 13(k) of the Exchange Act), Participant understands that Participant may not be able to indemnify the Company for the amount of any Tax-Related Items not collected from or paid by Participant, in case the indemnification could be considered to be a loan. In this case, the Tax-Related Items not collected or paid may constitute a benefit to Participant on which additional income tax and National Insurance contributions (“</w:t>
      </w:r>
      <w:r>
        <w:rPr>
          <w:rFonts w:ascii="Times New Roman" w:cs="Times New Roman" w:eastAsia="Times New Roman" w:hAnsi="Times New Roman"/>
          <w:sz w:val="20"/>
          <w:szCs w:val="20"/>
          <w:b w:val="1"/>
          <w:bCs w:val="1"/>
          <w:i w:val="1"/>
          <w:iCs w:val="1"/>
          <w:color w:val="auto"/>
        </w:rPr>
        <w:t>NICs</w:t>
      </w:r>
      <w:r>
        <w:rPr>
          <w:rFonts w:ascii="Times New Roman" w:cs="Times New Roman" w:eastAsia="Times New Roman" w:hAnsi="Times New Roman"/>
          <w:sz w:val="20"/>
          <w:szCs w:val="20"/>
          <w:color w:val="auto"/>
        </w:rPr>
        <w:t>”) may be payable. Participant acknowledges that Participant will be personally responsible for reporting and paying any income tax due on this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6459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44" w:lineRule="exact"/>
        <w:rPr>
          <w:sz w:val="20"/>
          <w:szCs w:val="20"/>
          <w:color w:val="auto"/>
        </w:rPr>
      </w:pPr>
    </w:p>
    <w:p>
      <w:pPr>
        <w:ind w:firstLine="8"/>
        <w:spacing w:after="0" w:line="229" w:lineRule="auto"/>
        <w:tabs>
          <w:tab w:leader="none" w:pos="119" w:val="left"/>
        </w:tabs>
        <w:numPr>
          <w:ilvl w:val="0"/>
          <w:numId w:val="1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“Director” includes any person, by whatever name described, who occupies the position of director of a Singapore corporation and includes a shadow director on whose instructions the directors of the corporation are accustomed to act.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38" w:name="page239"/>
    <w:bookmarkEnd w:id="238"/>
    <w:p>
      <w:pPr>
        <w:jc w:val="both"/>
        <w:spacing w:after="0" w:line="261" w:lineRule="auto"/>
        <w:rPr>
          <w:sz w:val="20"/>
          <w:szCs w:val="20"/>
          <w:color w:val="auto"/>
        </w:rPr>
      </w:pPr>
      <w:r>
        <w:rPr>
          <w:rFonts w:ascii="Times New Roman" w:cs="Times New Roman" w:eastAsia="Times New Roman" w:hAnsi="Times New Roman"/>
          <w:sz w:val="20"/>
          <w:szCs w:val="20"/>
          <w:color w:val="auto"/>
        </w:rPr>
        <w:t>benefit directly to the HMRC under the self-assessment regime and for paying the Company or the Employer, as applicable, for the value of any employee NICs due on this additional benefit, which may also be recovered from Participant by any of the means referred to in Section 7 of the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80808"/>
        </w:rPr>
        <w:t>CHANGE IN CONTROL SEVERANCE AGREEMENT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080808"/>
        </w:rPr>
        <w:t xml:space="preserve">This </w:t>
      </w:r>
      <w:r>
        <w:rPr>
          <w:rFonts w:ascii="Times New Roman" w:cs="Times New Roman" w:eastAsia="Times New Roman" w:hAnsi="Times New Roman"/>
          <w:sz w:val="22"/>
          <w:szCs w:val="22"/>
          <w:b w:val="1"/>
          <w:bCs w:val="1"/>
          <w:color w:val="080808"/>
        </w:rPr>
        <w:t>CHANGE IN CONTROL SEVERANCE AGREEMENT</w:t>
      </w:r>
      <w:r>
        <w:rPr>
          <w:rFonts w:ascii="Times New Roman" w:cs="Times New Roman" w:eastAsia="Times New Roman" w:hAnsi="Times New Roman"/>
          <w:sz w:val="22"/>
          <w:szCs w:val="22"/>
          <w:color w:val="080808"/>
        </w:rPr>
        <w:t xml:space="preserve"> (this “</w:t>
      </w:r>
      <w:r>
        <w:rPr>
          <w:rFonts w:ascii="Times New Roman" w:cs="Times New Roman" w:eastAsia="Times New Roman" w:hAnsi="Times New Roman"/>
          <w:sz w:val="22"/>
          <w:szCs w:val="22"/>
          <w:u w:val="single" w:color="auto"/>
          <w:color w:val="080808"/>
        </w:rPr>
        <w:t>Agreement</w:t>
      </w:r>
      <w:r>
        <w:rPr>
          <w:rFonts w:ascii="Times New Roman" w:cs="Times New Roman" w:eastAsia="Times New Roman" w:hAnsi="Times New Roman"/>
          <w:sz w:val="22"/>
          <w:szCs w:val="22"/>
          <w:color w:val="080808"/>
        </w:rPr>
        <w:t>”) is entered into as of May 20, 2025 (the “</w:t>
      </w:r>
      <w:r>
        <w:rPr>
          <w:rFonts w:ascii="Times New Roman" w:cs="Times New Roman" w:eastAsia="Times New Roman" w:hAnsi="Times New Roman"/>
          <w:sz w:val="22"/>
          <w:szCs w:val="22"/>
          <w:u w:val="single" w:color="auto"/>
          <w:color w:val="080808"/>
        </w:rPr>
        <w:t>Effective Date</w:t>
      </w:r>
      <w:r>
        <w:rPr>
          <w:rFonts w:ascii="Times New Roman" w:cs="Times New Roman" w:eastAsia="Times New Roman" w:hAnsi="Times New Roman"/>
          <w:sz w:val="22"/>
          <w:szCs w:val="22"/>
          <w:color w:val="080808"/>
        </w:rPr>
        <w:t>”), by and between StepStone Group Inc., a Delaware corporation (including any successor, the “</w:t>
      </w:r>
      <w:r>
        <w:rPr>
          <w:rFonts w:ascii="Times New Roman" w:cs="Times New Roman" w:eastAsia="Times New Roman" w:hAnsi="Times New Roman"/>
          <w:sz w:val="22"/>
          <w:szCs w:val="22"/>
          <w:u w:val="single" w:color="auto"/>
          <w:color w:val="080808"/>
        </w:rPr>
        <w:t>Company</w:t>
      </w:r>
      <w:r>
        <w:rPr>
          <w:rFonts w:ascii="Times New Roman" w:cs="Times New Roman" w:eastAsia="Times New Roman" w:hAnsi="Times New Roman"/>
          <w:sz w:val="22"/>
          <w:szCs w:val="22"/>
          <w:color w:val="080808"/>
        </w:rPr>
        <w:t>”), StepStone Group LP, a Delaware limited partnership (the “</w:t>
      </w:r>
      <w:r>
        <w:rPr>
          <w:rFonts w:ascii="Times New Roman" w:cs="Times New Roman" w:eastAsia="Times New Roman" w:hAnsi="Times New Roman"/>
          <w:sz w:val="22"/>
          <w:szCs w:val="22"/>
          <w:u w:val="single" w:color="auto"/>
          <w:color w:val="080808"/>
        </w:rPr>
        <w:t>Partnership</w:t>
      </w:r>
      <w:r>
        <w:rPr>
          <w:rFonts w:ascii="Times New Roman" w:cs="Times New Roman" w:eastAsia="Times New Roman" w:hAnsi="Times New Roman"/>
          <w:sz w:val="22"/>
          <w:szCs w:val="22"/>
          <w:color w:val="080808"/>
        </w:rPr>
        <w:t>”), and David Park (“</w:t>
      </w:r>
      <w:r>
        <w:rPr>
          <w:rFonts w:ascii="Times New Roman" w:cs="Times New Roman" w:eastAsia="Times New Roman" w:hAnsi="Times New Roman"/>
          <w:sz w:val="22"/>
          <w:szCs w:val="22"/>
          <w:u w:val="single" w:color="auto"/>
          <w:color w:val="080808"/>
        </w:rPr>
        <w:t>Executive</w:t>
      </w:r>
      <w:r>
        <w:rPr>
          <w:rFonts w:ascii="Times New Roman" w:cs="Times New Roman" w:eastAsia="Times New Roman" w:hAnsi="Times New Roman"/>
          <w:sz w:val="22"/>
          <w:szCs w:val="22"/>
          <w:color w:val="080808"/>
        </w:rPr>
        <w:t>”).</w:t>
      </w:r>
    </w:p>
    <w:p>
      <w:pPr>
        <w:spacing w:after="0" w:line="165" w:lineRule="exact"/>
        <w:rPr>
          <w:sz w:val="20"/>
          <w:szCs w:val="20"/>
          <w:color w:val="auto"/>
        </w:rPr>
      </w:pPr>
    </w:p>
    <w:p>
      <w:pPr>
        <w:jc w:val="both"/>
        <w:ind w:firstLine="8"/>
        <w:spacing w:after="0" w:line="257" w:lineRule="auto"/>
        <w:tabs>
          <w:tab w:leader="none" w:pos="64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Executive acknowledges and agrees that Executive’s employment relationship with the Company is at will. This Agreement does not in any way alter Executive’s at-will status or limit the Company’s or Executive’s right to terminate Executive’s employment with the Company at any time, with or without Cause or advance notice.</w:t>
      </w:r>
    </w:p>
    <w:p>
      <w:pPr>
        <w:spacing w:after="0" w:line="17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at the time of determination, any “parent” or “subsidiary” of the Company or the Partnership, as such terms are defined in Rule 405 of the U.S. Securities Act of 1933, as amended. The Company will have the authority to determine the time or times at which “parent” or “subsidiary” status is determined within the foregoing definition.</w:t>
      </w:r>
    </w:p>
    <w:p>
      <w:pPr>
        <w:spacing w:after="0" w:line="17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010000"/>
        </w:rPr>
      </w:pPr>
    </w:p>
    <w:p>
      <w:pPr>
        <w:jc w:val="both"/>
        <w:ind w:firstLine="656"/>
        <w:spacing w:after="0" w:line="248" w:lineRule="auto"/>
        <w:tabs>
          <w:tab w:leader="none" w:pos="1293"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the occurrence of any of the following events: (i) Executive’s failure substantially to perform Executive’s duties and responsibilities to the Company or any Affiliate or violation of a policy of the Company or any Affiliate; (ii) Executive’s commission of any act of fraud, embezzlement, dishonesty or any other misconduct that has caused or is reasonably expected to result in injury to the Company or any Affiliate; (iii) unauthorized use or disclosure by Executive of any proprietary information or trade secrets of the Company or any other party to whom Executive owes an obligation of nondisclosure as a result of Executive’s relationship with the Company or any Affiliate; or (iv) Executive’s breach of any of Executive’s obligations under any written agreement or covenant with the Company or any Affiliate. The determination as to whether Executive is being terminated for Cause will be made in good faith by the Company and will be final and binding on Executive. Executive’s employment will be deemed to have been terminated for Cause if it is determined subsequent to Executive’s termination that grounds for a termination for Cause existed at the time of such termination, as determined by the Company.</w:t>
      </w:r>
    </w:p>
    <w:p>
      <w:pPr>
        <w:spacing w:after="0" w:line="188" w:lineRule="exact"/>
        <w:rPr>
          <w:rFonts w:ascii="Times New Roman" w:cs="Times New Roman" w:eastAsia="Times New Roman" w:hAnsi="Times New Roman"/>
          <w:sz w:val="22"/>
          <w:szCs w:val="22"/>
          <w:color w:val="010000"/>
        </w:rPr>
      </w:pPr>
    </w:p>
    <w:p>
      <w:pPr>
        <w:ind w:right="20" w:firstLine="656"/>
        <w:spacing w:after="0" w:line="284" w:lineRule="auto"/>
        <w:tabs>
          <w:tab w:leader="none" w:pos="1291"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has the meaning set forth in the StepStone Group Inc. 2020 Long-Term Incentive Plan or any successor equity incentive plan as in effect at such time (the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Protection Period</w:t>
      </w:r>
      <w:r>
        <w:rPr>
          <w:rFonts w:ascii="Times New Roman" w:cs="Times New Roman" w:eastAsia="Times New Roman" w:hAnsi="Times New Roman"/>
          <w:sz w:val="22"/>
          <w:szCs w:val="22"/>
          <w:color w:val="auto"/>
        </w:rPr>
        <w:t>” means the 18-month period beginning on the consummation of a Change in Control.</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means the Consolidated Omnibus Budget Reconciliation Act of 1985.</w:t>
      </w:r>
    </w:p>
    <w:p>
      <w:pPr>
        <w:sectPr>
          <w:pgSz w:w="11900" w:h="16838" w:orient="portrait"/>
          <w:cols w:equalWidth="0" w:num="1">
            <w:col w:w="11240"/>
          </w:cols>
          <w:pgMar w:left="320" w:top="114" w:right="339" w:bottom="1440" w:gutter="0" w:footer="0" w:header="0"/>
        </w:sectPr>
      </w:pPr>
    </w:p>
    <w:bookmarkStart w:id="240" w:name="page241"/>
    <w:bookmarkEnd w:id="240"/>
    <w:p>
      <w:pPr>
        <w:ind w:left="1300" w:hanging="644"/>
        <w:spacing w:after="0"/>
        <w:tabs>
          <w:tab w:leader="none" w:pos="1300"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including any applicable regulations and guidance</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thereunder.</w:t>
      </w:r>
    </w:p>
    <w:p>
      <w:pPr>
        <w:spacing w:after="0" w:line="195" w:lineRule="exact"/>
        <w:rPr>
          <w:rFonts w:ascii="Times New Roman" w:cs="Times New Roman" w:eastAsia="Times New Roman" w:hAnsi="Times New Roman"/>
          <w:sz w:val="22"/>
          <w:szCs w:val="22"/>
          <w:color w:val="010000"/>
        </w:rPr>
      </w:pPr>
    </w:p>
    <w:p>
      <w:pPr>
        <w:ind w:firstLine="656"/>
        <w:spacing w:after="0" w:line="284" w:lineRule="auto"/>
        <w:tabs>
          <w:tab w:leader="none" w:pos="1291"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means the Company, the Partnership, their respective Affiliates and their respective other direct or indirect subsidiaries.</w:t>
      </w:r>
    </w:p>
    <w:p>
      <w:pPr>
        <w:spacing w:after="0" w:line="143"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has the meaning set forth in the Equity Plan.</w:t>
      </w:r>
    </w:p>
    <w:p>
      <w:pPr>
        <w:spacing w:after="0" w:line="219" w:lineRule="exact"/>
        <w:rPr>
          <w:rFonts w:ascii="Times New Roman" w:cs="Times New Roman" w:eastAsia="Times New Roman" w:hAnsi="Times New Roman"/>
          <w:sz w:val="22"/>
          <w:szCs w:val="22"/>
          <w:color w:val="010000"/>
        </w:rPr>
      </w:pPr>
    </w:p>
    <w:p>
      <w:pPr>
        <w:jc w:val="both"/>
        <w:ind w:firstLine="656"/>
        <w:spacing w:after="0" w:line="248" w:lineRule="auto"/>
        <w:tabs>
          <w:tab w:leader="none" w:pos="1284"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the occurrence of any one or more of the following without Executive’s consent: (i) the Company reduces Executive’s annual base salary, unless such reduction is pursuant to a general reduction in annual base salaries applicable to all similarly situated employees, (ii) Executive experiences a significant diminution of position, duties, responsibilities or status or (iii) Executive is required to relocate to a location that exceeds a 50-mile radius from Executive’s primary workplace prior to the Change in Control. Notwithstanding the foregoing, any assertion by Executive of Good Reason shall not be effective unless (A) Executive provides written notice to the Company of the existence of one or more of the foregoing conditions within 30 days after the initial occurrence of such condition(s); (B) the condition(s) specified in such notice must remain uncorrected for 30 days following the Company’s receipt of such written notice; and (C) the Termination Date must occur within 90 days after the initial occurrence of the condition(s) specified in such notice.</w:t>
      </w:r>
    </w:p>
    <w:p>
      <w:pPr>
        <w:spacing w:after="0" w:line="198"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1"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termination of Executive’s employment with the Company by the Company without Cause (other than by reason of death or Disability) or by Executive for Good Reason, in each case, during the CIC Protection Period.</w:t>
      </w:r>
    </w:p>
    <w:p>
      <w:pPr>
        <w:spacing w:after="0" w:line="17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date of Executive’s termination of employment with the Company.</w:t>
      </w:r>
    </w:p>
    <w:p>
      <w:pPr>
        <w:spacing w:after="0" w:line="219"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1"/>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Upon any termination of Executive’s employment with the Company, Executive shall be entitled to receive:</w:t>
      </w:r>
    </w:p>
    <w:p>
      <w:pPr>
        <w:spacing w:after="0" w:line="157" w:lineRule="exact"/>
        <w:rPr>
          <w:rFonts w:ascii="Times New Roman" w:cs="Times New Roman" w:eastAsia="Times New Roman" w:hAnsi="Times New Roman"/>
          <w:sz w:val="22"/>
          <w:szCs w:val="22"/>
          <w:color w:val="010000"/>
        </w:rPr>
      </w:pPr>
    </w:p>
    <w:p>
      <w:pPr>
        <w:ind w:right="20" w:firstLine="1304"/>
        <w:spacing w:after="0" w:line="271" w:lineRule="auto"/>
        <w:tabs>
          <w:tab w:leader="none" w:pos="1932" w:val="left"/>
        </w:tabs>
        <w:numPr>
          <w:ilvl w:val="2"/>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Executive’s base salary accrued through the Termination Date, payable as soon as practicable following the date of such termination or as otherwise required by applicable law;</w:t>
      </w:r>
    </w:p>
    <w:p>
      <w:pPr>
        <w:spacing w:after="0" w:line="157"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938" w:val="left"/>
        </w:tabs>
        <w:numPr>
          <w:ilvl w:val="2"/>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benefits, if any, as to which Executive may be entitled under the employee benefit plans of the Company, which shall be paid in accordance with the terms of the applicable plans (the amounts described in clauses (i) through (ii) hereof,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1" w:val="left"/>
        </w:tabs>
        <w:numPr>
          <w:ilvl w:val="1"/>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Upon a Qualifying Termination, subject to Executive’s execution and non-revocation of a release of claims, in the form provided by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within the time period specified therein and Executive’s continued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2"/>
          <w:szCs w:val="22"/>
          <w:color w:val="auto"/>
        </w:rPr>
        <w:t xml:space="preserve">any restrictive covenant obligations between Executive and any member of the Company Group and </w:t>
      </w:r>
      <w:r>
        <w:rPr>
          <w:rFonts w:ascii="Times New Roman" w:cs="Times New Roman" w:eastAsia="Times New Roman" w:hAnsi="Times New Roman"/>
          <w:sz w:val="22"/>
          <w:szCs w:val="22"/>
          <w:u w:val="single" w:color="auto"/>
          <w:color w:val="auto"/>
        </w:rPr>
        <w:t>Section 4(j)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0" w:lineRule="auto"/>
        <w:tabs>
          <w:tab w:leader="none" w:pos="1932" w:val="left"/>
        </w:tabs>
        <w:numPr>
          <w:ilvl w:val="0"/>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Executive shall be entitled to receive an aggregate cash severance payment in an amount equal to two times the sum of (A) Executive’s annual base salary at the rate in effect on the Termination Date (without giving effect to any prior reduction in annual base salary by the Company that would give rise to Good Reason), and (B) Executive’s annual bonus earned for the fiscal year preceding the fiscal year in which the Termination Date occurs (including any portion paid in cash and any portion granted as equity awards), payable in a lump sum within 60 days following the date the Release becomes effective and irrevocable; provided, that if the period during which the Release could become effective and irrevocable spans two calendar years, payment shall occur in the second calendar year;</w:t>
      </w:r>
    </w:p>
    <w:p>
      <w:pPr>
        <w:spacing w:after="0" w:line="193" w:lineRule="exact"/>
        <w:rPr>
          <w:rFonts w:ascii="Times New Roman" w:cs="Times New Roman" w:eastAsia="Times New Roman" w:hAnsi="Times New Roman"/>
          <w:sz w:val="22"/>
          <w:szCs w:val="22"/>
          <w:color w:val="010000"/>
        </w:rPr>
      </w:pPr>
    </w:p>
    <w:p>
      <w:pPr>
        <w:jc w:val="both"/>
        <w:ind w:firstLine="1304"/>
        <w:spacing w:after="0" w:line="247" w:lineRule="auto"/>
        <w:tabs>
          <w:tab w:leader="none" w:pos="1938" w:val="left"/>
        </w:tabs>
        <w:numPr>
          <w:ilvl w:val="0"/>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Executive’s timely election of continuation coverage under COBRA, the Company shall pay the premiums for Executive’s participation in the Company’s group health plans pursuant to COBRA for a period ending on the earliest of (A) 24 months following the Termination Date; (B) Executive becoming eligible for other group health benefits, or (C) the expiration of Executive’s rights under COBRA; provided, however, that if Executive ceases to be eligible for COBRA (other than as a result of becoming eligible for Medicare or coverage under other group health benefits), the Company shall pay to Executive within 30 days following the date Executive ceases to be so eligible a lump sum amount equal to (x) 24 less the number of months of COBRA that have previously been provided for as of such date,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(y) the amount of the COBRA premiums paid by the Company in the final month of COBRA eligibility; provided, further, that in the event that the benefits provided herein would subject the Company or any Affiliate to any tax or penalty under the Patient Protection and Affordable Care Act or Section 105(h) of the Code, Executive and the Company agree to work together in good faith to restructure the foregoing benefit; and</w:t>
      </w:r>
    </w:p>
    <w:p>
      <w:pPr>
        <w:spacing w:after="0" w:line="200"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944" w:val="left"/>
        </w:tabs>
        <w:numPr>
          <w:ilvl w:val="0"/>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any applicable plan or award agreement, Executive’s outstanding and unvested equity or equity-based awards, carried interest awards and awards under any incentive fee plan shall become fully vested as of the Termination Date; provided, however, that the treatment of any performance-based vesting conditions under any such awards will be determined as set forth in the applicable plan or award agreement.</w:t>
      </w:r>
    </w:p>
    <w:p>
      <w:pPr>
        <w:spacing w:after="0" w:line="17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 xml:space="preserve">Following Executive’s Qualifying Termination, except as set forth in this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Executive shall have no further rights to any compensation or any other benefits under this </w:t>
      </w:r>
      <w:r>
        <w:rPr>
          <w:rFonts w:ascii="Times New Roman" w:cs="Times New Roman" w:eastAsia="Times New Roman" w:hAnsi="Times New Roman"/>
          <w:sz w:val="22"/>
          <w:szCs w:val="22"/>
          <w:color w:val="080808"/>
        </w:rPr>
        <w:t>Agreement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56"/>
        <w:spacing w:after="0" w:line="257" w:lineRule="auto"/>
        <w:tabs>
          <w:tab w:leader="none" w:pos="1293" w:val="left"/>
        </w:tabs>
        <w:numPr>
          <w:ilvl w:val="0"/>
          <w:numId w:val="1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xml:space="preserve">. Upon a termination of Executive’s employment that is not described in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except for the Accrued Obligations and under </w:t>
      </w:r>
      <w:r>
        <w:rPr>
          <w:rFonts w:ascii="Times New Roman" w:cs="Times New Roman" w:eastAsia="Times New Roman" w:hAnsi="Times New Roman"/>
          <w:sz w:val="22"/>
          <w:szCs w:val="22"/>
          <w:u w:val="single" w:color="auto"/>
          <w:color w:val="auto"/>
        </w:rPr>
        <w:t>Section 3(d)</w:t>
      </w:r>
      <w:r>
        <w:rPr>
          <w:rFonts w:ascii="Times New Roman" w:cs="Times New Roman" w:eastAsia="Times New Roman" w:hAnsi="Times New Roman"/>
          <w:sz w:val="22"/>
          <w:szCs w:val="22"/>
          <w:color w:val="auto"/>
        </w:rPr>
        <w:t xml:space="preserve"> below, Executive shall have no further rights to any compensation or any other benefits under this Agreement.</w:t>
      </w:r>
    </w:p>
    <w:p>
      <w:pPr>
        <w:spacing w:after="0" w:line="172" w:lineRule="exact"/>
        <w:rPr>
          <w:rFonts w:ascii="Times New Roman" w:cs="Times New Roman" w:eastAsia="Times New Roman" w:hAnsi="Times New Roman"/>
          <w:sz w:val="22"/>
          <w:szCs w:val="22"/>
          <w:color w:val="010000"/>
        </w:rPr>
      </w:pPr>
    </w:p>
    <w:p>
      <w:pPr>
        <w:jc w:val="both"/>
        <w:ind w:firstLine="656"/>
        <w:spacing w:after="0" w:line="263" w:lineRule="auto"/>
        <w:tabs>
          <w:tab w:leader="none" w:pos="1291" w:val="left"/>
        </w:tabs>
        <w:numPr>
          <w:ilvl w:val="0"/>
          <w:numId w:val="1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and Offices Held</w:t>
      </w:r>
      <w:r>
        <w:rPr>
          <w:rFonts w:ascii="Times New Roman" w:cs="Times New Roman" w:eastAsia="Times New Roman" w:hAnsi="Times New Roman"/>
          <w:sz w:val="22"/>
          <w:szCs w:val="22"/>
          <w:color w:val="auto"/>
        </w:rPr>
        <w:t>. Upon termination of Executive’s employment for any reason, Executive shall be deemed to have automatically resigned as an officer of the Company Group and from the board of managers, board of directors or similar governing body of each member of the Company Group and any other corporation,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242" w:name="page243"/>
    <w:bookmarkEnd w:id="242"/>
    <w:p>
      <w:pPr>
        <w:jc w:val="both"/>
        <w:spacing w:after="0" w:line="256" w:lineRule="auto"/>
        <w:rPr>
          <w:sz w:val="20"/>
          <w:szCs w:val="20"/>
          <w:color w:val="auto"/>
        </w:rPr>
      </w:pPr>
      <w:r>
        <w:rPr>
          <w:rFonts w:ascii="Times New Roman" w:cs="Times New Roman" w:eastAsia="Times New Roman" w:hAnsi="Times New Roman"/>
          <w:sz w:val="22"/>
          <w:szCs w:val="22"/>
          <w:color w:val="auto"/>
        </w:rPr>
        <w:t>limited partnership, trade organization, or other entity in which any member of the Company Group holds an equity interest or with respect to which board or similar governing body Executive serves as the designee or other representative of any member of the Company Group. Executive shall promptly deliver to the Company any additional documents reasonably required by the Company to confirm such resignations.</w:t>
      </w:r>
    </w:p>
    <w:p>
      <w:pPr>
        <w:spacing w:after="0" w:line="176" w:lineRule="exact"/>
        <w:rPr>
          <w:sz w:val="20"/>
          <w:szCs w:val="20"/>
          <w:color w:val="auto"/>
        </w:rPr>
      </w:pPr>
    </w:p>
    <w:p>
      <w:pPr>
        <w:jc w:val="both"/>
        <w:ind w:firstLine="8"/>
        <w:spacing w:after="0" w:line="257" w:lineRule="auto"/>
        <w:tabs>
          <w:tab w:leader="none" w:pos="64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Service</w:t>
      </w:r>
      <w:r>
        <w:rPr>
          <w:rFonts w:ascii="Times New Roman" w:cs="Times New Roman" w:eastAsia="Times New Roman" w:hAnsi="Times New Roman"/>
          <w:sz w:val="22"/>
          <w:szCs w:val="22"/>
          <w:color w:val="auto"/>
        </w:rPr>
        <w:t>. Executive acknowledges and agrees that Executive’s service relationship with the Company is at will. This Agreement does not in any way alter Executive’s at-will status or limit the Company’s or Executive’s right to terminate Executive’s employment with the Company at any time, with or without Cause or advance notice.</w:t>
      </w:r>
    </w:p>
    <w:p>
      <w:pPr>
        <w:spacing w:after="0" w:line="17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3" w:val="left"/>
        </w:tabs>
        <w:numPr>
          <w:ilvl w:val="1"/>
          <w:numId w:val="1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Governing Law; Consent to Personal Jurisdiction</w:t>
      </w:r>
      <w:r>
        <w:rPr>
          <w:rFonts w:ascii="Times New Roman" w:cs="Times New Roman" w:eastAsia="Times New Roman" w:hAnsi="Times New Roman"/>
          <w:sz w:val="21"/>
          <w:szCs w:val="21"/>
          <w:color w:val="auto"/>
        </w:rPr>
        <w:t>. THIS AGREEMENT WILL BE GOVERNED BY THE LAWS OF THE STATE OF CALIFORNIA WITHOUT REGARD FOR CONFLICTS OF LAWS PRINCIPLES. EXECUTIVE HEREBY EXPRESSLY CONSENTS TO THE PERSONAL JURISDICTION OF THE STATE AND FEDERAL COURTS LOCATED IN CALIFORNIA FOR ANY LAWSUIT FILED THERE CONCERNING EXECUTIVE’S EMPLOYMENT OR THE TERMINATION OF EXECUTIVE’S EMPLOYMENT OR ARISING FROM OR RELATING TO THIS AGREEMENT.</w:t>
      </w:r>
    </w:p>
    <w:p>
      <w:pPr>
        <w:spacing w:after="0" w:line="165" w:lineRule="exact"/>
        <w:rPr>
          <w:rFonts w:ascii="Times New Roman" w:cs="Times New Roman" w:eastAsia="Times New Roman" w:hAnsi="Times New Roman"/>
          <w:sz w:val="21"/>
          <w:szCs w:val="21"/>
          <w:color w:val="010000"/>
        </w:rPr>
      </w:pPr>
    </w:p>
    <w:p>
      <w:pPr>
        <w:jc w:val="both"/>
        <w:ind w:firstLine="656"/>
        <w:spacing w:after="0" w:line="249" w:lineRule="auto"/>
        <w:tabs>
          <w:tab w:leader="none" w:pos="1291" w:val="left"/>
        </w:tabs>
        <w:numPr>
          <w:ilvl w:val="1"/>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Agreement/Amendments</w:t>
      </w:r>
      <w:r>
        <w:rPr>
          <w:rFonts w:ascii="Times New Roman" w:cs="Times New Roman" w:eastAsia="Times New Roman" w:hAnsi="Times New Roman"/>
          <w:sz w:val="22"/>
          <w:szCs w:val="22"/>
          <w:color w:val="auto"/>
        </w:rPr>
        <w:t>. This Agreement contains the entire understanding of the parties with respect to the matters set forth herein. There are no restrictions, agreements, promises, warranties, covenants or undertakings between the parties with respect to the subject matter herein other than those expressly set forth herein or as may be set forth from time to time in the Company’s employee benefit plans and policies applicable to Executive. For the avoidance of doubt, this Agreement supersedes and replaces any severance entitlements set forth in any other agreement between the Company and Executive, including any individual employment agreement or offer letter. This Agreement expressly does not serve to address, limit or replace any annual bonus which may be paid to Executive in respect of the fiscal year in which the Termination Date occurs and is silent as to the application of any bonus policy which exists or may be in effect at the time of the Termination Date. This Agreement may not be altered, modified, or amended except by written instrument signed by the parties hereto. In the event of any inconsistency between this Agreement and any other plan, program, practice or agreement of which Executive is a participant or a party, this Agreement shall control unless such other plan, program, practice or agreement specifically refers to the provisions of this sentence.</w:t>
      </w:r>
    </w:p>
    <w:p>
      <w:pPr>
        <w:spacing w:after="0" w:line="184"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3" w:val="left"/>
        </w:tabs>
        <w:numPr>
          <w:ilvl w:val="1"/>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72" w:lineRule="exact"/>
        <w:rPr>
          <w:rFonts w:ascii="Times New Roman" w:cs="Times New Roman" w:eastAsia="Times New Roman" w:hAnsi="Times New Roman"/>
          <w:sz w:val="22"/>
          <w:szCs w:val="22"/>
          <w:color w:val="010000"/>
        </w:rPr>
      </w:pPr>
    </w:p>
    <w:p>
      <w:pPr>
        <w:ind w:firstLine="656"/>
        <w:spacing w:after="0" w:line="271" w:lineRule="auto"/>
        <w:tabs>
          <w:tab w:leader="none" w:pos="1291" w:val="left"/>
        </w:tabs>
        <w:numPr>
          <w:ilvl w:val="1"/>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one or more of the provisions of this Agreement shall be or become invalid, illegal or unenforceable in any respect, the validity,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2"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2"/>
          <w:szCs w:val="22"/>
          <w:color w:val="auto"/>
        </w:rPr>
        <w:t>legality and enforceability of the remaining provisions of this Agreement shall not be affected thereby.</w:t>
      </w:r>
    </w:p>
    <w:p>
      <w:pPr>
        <w:spacing w:after="0" w:line="220" w:lineRule="exact"/>
        <w:rPr>
          <w:sz w:val="20"/>
          <w:szCs w:val="20"/>
          <w:color w:val="auto"/>
        </w:rPr>
      </w:pPr>
    </w:p>
    <w:p>
      <w:pPr>
        <w:jc w:val="both"/>
        <w:ind w:firstLine="656"/>
        <w:spacing w:after="0" w:line="268" w:lineRule="auto"/>
        <w:tabs>
          <w:tab w:leader="none" w:pos="1293" w:val="left"/>
        </w:tabs>
        <w:numPr>
          <w:ilvl w:val="0"/>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xml:space="preserve">. This Agreement, and all of Executive’s rights and duties hereunder, shall not be assignable or delegable by Executive. Any purported assignment or delegation by Executive in violation of the foregoing shall be null and </w:t>
      </w:r>
      <w:r>
        <w:rPr>
          <w:rFonts w:ascii="Times New Roman" w:cs="Times New Roman" w:eastAsia="Times New Roman" w:hAnsi="Times New Roman"/>
          <w:sz w:val="21"/>
          <w:szCs w:val="21"/>
          <w:i w:val="1"/>
          <w:iCs w:val="1"/>
          <w:color w:val="auto"/>
        </w:rPr>
        <w:t>void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ab initio </w:t>
      </w:r>
      <w:r>
        <w:rPr>
          <w:rFonts w:ascii="Times New Roman" w:cs="Times New Roman" w:eastAsia="Times New Roman" w:hAnsi="Times New Roman"/>
          <w:sz w:val="21"/>
          <w:szCs w:val="21"/>
          <w:color w:val="auto"/>
        </w:rPr>
        <w:t>and of no force and effect. This Agreement may be assigned by the Company to a person or entity which is an Affiliate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63" w:lineRule="exact"/>
        <w:rPr>
          <w:rFonts w:ascii="Times New Roman" w:cs="Times New Roman" w:eastAsia="Times New Roman" w:hAnsi="Times New Roman"/>
          <w:sz w:val="21"/>
          <w:szCs w:val="21"/>
          <w:color w:val="010000"/>
        </w:rPr>
      </w:pPr>
    </w:p>
    <w:p>
      <w:pPr>
        <w:jc w:val="both"/>
        <w:ind w:firstLine="656"/>
        <w:spacing w:after="0" w:line="253" w:lineRule="auto"/>
        <w:tabs>
          <w:tab w:leader="none" w:pos="1296"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Counterclaim; No Mitigation</w:t>
      </w:r>
      <w:r>
        <w:rPr>
          <w:rFonts w:ascii="Times New Roman" w:cs="Times New Roman" w:eastAsia="Times New Roman" w:hAnsi="Times New Roman"/>
          <w:sz w:val="22"/>
          <w:szCs w:val="22"/>
          <w:color w:val="auto"/>
        </w:rPr>
        <w:t>. The Company’s obligation to pay Executive the amounts provided and to make the arrangements provided hereunder shall be subject to counterclaim and to seek recoupment of amounts owed by Executive to the Company or the Affiliates. Executive shall not be required to mitigate the amount of any payment provided for pursuant to this Agreement by seeking other employment, and such payments shall not be reduced by any compensation or benefits received from any subsequent employer or other endeavor.</w:t>
      </w:r>
    </w:p>
    <w:p>
      <w:pPr>
        <w:spacing w:after="0" w:line="178" w:lineRule="exact"/>
        <w:rPr>
          <w:rFonts w:ascii="Times New Roman" w:cs="Times New Roman" w:eastAsia="Times New Roman" w:hAnsi="Times New Roman"/>
          <w:sz w:val="22"/>
          <w:szCs w:val="22"/>
          <w:color w:val="010000"/>
        </w:rPr>
      </w:pPr>
    </w:p>
    <w:p>
      <w:pPr>
        <w:jc w:val="both"/>
        <w:ind w:firstLine="656"/>
        <w:spacing w:after="0" w:line="247" w:lineRule="auto"/>
        <w:tabs>
          <w:tab w:leader="none" w:pos="1291"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Compliance with Code Section 409A</w:t>
      </w:r>
      <w:r>
        <w:rPr>
          <w:rFonts w:ascii="Times New Roman" w:cs="Times New Roman" w:eastAsia="Times New Roman" w:hAnsi="Times New Roman"/>
          <w:sz w:val="22"/>
          <w:szCs w:val="22"/>
          <w:color w:val="auto"/>
        </w:rPr>
        <w:t xml:space="preserve">. Notwithstanding anything herein to the contrary, (i) if on the Termination Date Executive is a “specified employee” as defined in Section 409A of the Code and the deferral of the payment or provision of benefits otherwise payable hereunder as a result of such termination of employment is necessary in order to prevent any accelerated or additional tax under Section 409A of the Code, then the Company will defer the payment of any such payments or benefits hereunder (without any reduction in such payments or benefits ultimately paid or provided to Executive) until the date that is six months following Executive’s termination of employment with the Company or Executive’s earlier death (or the earliest date as is permitted under Section 409A of the Code) and (ii) if any other payments of money or other benefits due to Executive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Board, that does not cause such an accelerated or additional tax. For purposes of Section 409A of the Code, each payment made under this Agreement shall be designated as a “separate payment” within the meaning of the Section 409A of the Code, and references herein to Executive’s “termination of employment” shall refer to Executive’s separation from service with the Company within the meaning of Section 409A. The Company shall consult with Executive in good faith regarding the implementation of the provisions of this </w:t>
      </w:r>
      <w:r>
        <w:rPr>
          <w:rFonts w:ascii="Times New Roman" w:cs="Times New Roman" w:eastAsia="Times New Roman" w:hAnsi="Times New Roman"/>
          <w:sz w:val="22"/>
          <w:szCs w:val="22"/>
          <w:u w:val="single" w:color="auto"/>
          <w:color w:val="auto"/>
        </w:rPr>
        <w:t>Section 4(g)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Company nor any of its employees or representatives shall have any liability to Executive with respect thereto or any tax imposed under Section 409A.</w:t>
      </w:r>
    </w:p>
    <w:p>
      <w:pPr>
        <w:spacing w:after="0" w:line="194"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1"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Successors; Binding Agreement</w:t>
      </w:r>
      <w:r>
        <w:rPr>
          <w:rFonts w:ascii="Times New Roman" w:cs="Times New Roman" w:eastAsia="Times New Roman" w:hAnsi="Times New Roman"/>
          <w:sz w:val="22"/>
          <w:szCs w:val="22"/>
          <w:color w:val="auto"/>
        </w:rPr>
        <w:t>. This Agreement shall inure to the benefit of and be binding upon personal or legal representatives, executors, administrators, successors, heirs, distributees, devisees and legatees. In the event of Executive’s death prior to receipt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244" w:name="page245"/>
    <w:bookmarkEnd w:id="244"/>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amounts payable to Executive (including any unpaid amounts due under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such amounts shall be paid to Executive’s beneficiary designated in a notice provided to and accepted by the Company or, in the absence of such designation, to Executive’s estate. This Agreement shall be binding upon any successor to the Company or the Partnership, and its respective assets, businesses or interest (whether as a result of the occurrence of a Change in Control or otherwise), in the same manner and to the same extent that the Company or the Partnership would be obligated under the Agreement if no succession had taken place. In the case of any transaction in which a successor would not by the foregoing provision or operation of law be bound by this Agreement, the Company and the Partnership shall require any successor to the Company or the Partnership to expressly and unconditionally agree in writing to honor the obligations of the Company and the Partnership hereunder, in the same manner and to the same extent that the Company and the Partnership would be required to perform if no succession had taken place.</w:t>
      </w:r>
    </w:p>
    <w:p>
      <w:pPr>
        <w:spacing w:after="0" w:line="170" w:lineRule="exact"/>
        <w:rPr>
          <w:sz w:val="20"/>
          <w:szCs w:val="20"/>
          <w:color w:val="auto"/>
        </w:rPr>
      </w:pPr>
    </w:p>
    <w:p>
      <w:pPr>
        <w:jc w:val="both"/>
        <w:ind w:firstLine="656"/>
        <w:spacing w:after="0" w:line="250" w:lineRule="auto"/>
        <w:tabs>
          <w:tab w:leader="none" w:pos="1284"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required or permitted to be delivered under this Agreement shall be in writing (which shall include electronic transmission) and shall be deemed received (i) the business day following electronic verification of receipt if sent electronically, (ii) upon personal delivery to the party to whom the notice is directed, or (iii) the business day following deposit with a reputable overnight courier (or the second business day following deposit in the case of an international delivery). Notice shall be addressed to the Company’s Legal Department and to Executive at the address that Executive most recently provided to the Company. The recipient may acknowledge actual receipt at a time earlier than the deemed receipt set forth herein or by a means other than that set forth herein.</w:t>
      </w:r>
    </w:p>
    <w:p>
      <w:pPr>
        <w:spacing w:after="0" w:line="180" w:lineRule="exact"/>
        <w:rPr>
          <w:rFonts w:ascii="Times New Roman" w:cs="Times New Roman" w:eastAsia="Times New Roman" w:hAnsi="Times New Roman"/>
          <w:sz w:val="22"/>
          <w:szCs w:val="22"/>
          <w:color w:val="010000"/>
        </w:rPr>
      </w:pPr>
    </w:p>
    <w:p>
      <w:pPr>
        <w:jc w:val="both"/>
        <w:ind w:firstLine="656"/>
        <w:spacing w:after="0" w:line="261" w:lineRule="auto"/>
        <w:tabs>
          <w:tab w:leader="none" w:pos="1284" w:val="left"/>
        </w:tabs>
        <w:numPr>
          <w:ilvl w:val="0"/>
          <w:numId w:val="1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Executive shall fully cooperate with the Company Group and provide truthful information in any internal investigation, any administrative, regulatory, or judicial proceeding or any dispute with a third party (or any appeal from any proceeding or dispute) which relates to events occurring during Executive’s employment or engagement with the Company Group; provided, that, following termination of Executive’s employment, the Company shall pay all reasonable expenses incurred by Executive in providing such cooperation. Executive understands and agrees that Executive’s cooperation may include making Executive available to the Company Group upon reasonable notice for interviews and factual investigations; appearing at the Company Groups’ request to give testimony without requiring service of a subpoena or other legal process; volunteering to the Company Group pertinent information received by Executive in Executive’s capacity as an employee or other service provider; and turning over to the Company Group all relevant documents which are or may come into Executive’s possession in Executive’s capacity an employee or otherwise, all at times and on schedules that are reasonably consistent with Executive’s other permitted activities and commitments. This provision shall survive any termination of this Agreement.</w:t>
      </w:r>
    </w:p>
    <w:p>
      <w:pPr>
        <w:spacing w:after="0" w:line="175" w:lineRule="exact"/>
        <w:rPr>
          <w:rFonts w:ascii="Times New Roman" w:cs="Times New Roman" w:eastAsia="Times New Roman" w:hAnsi="Times New Roman"/>
          <w:sz w:val="21"/>
          <w:szCs w:val="21"/>
          <w:color w:val="010000"/>
        </w:rPr>
      </w:pPr>
    </w:p>
    <w:p>
      <w:pPr>
        <w:jc w:val="both"/>
        <w:ind w:firstLine="656"/>
        <w:spacing w:after="0" w:line="253" w:lineRule="auto"/>
        <w:tabs>
          <w:tab w:leader="none" w:pos="1291"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Certain Excise Taxes</w:t>
      </w:r>
      <w:r>
        <w:rPr>
          <w:rFonts w:ascii="Times New Roman" w:cs="Times New Roman" w:eastAsia="Times New Roman" w:hAnsi="Times New Roman"/>
          <w:sz w:val="22"/>
          <w:szCs w:val="22"/>
          <w:color w:val="auto"/>
        </w:rPr>
        <w:t>. Notwithstanding anything to the contrary in this Agreement, if Executive is a “disqualified individual” (as defined in Section 280G(c) of the Code), and the severance benefits provided for under this Agreement, together with any other payments and benefits which Executive has the right to receive from the Company, would constitute a “parachute payment” (as defined in Section 280G(b)(2) of the Code), then the severance benefits provided for under this Agreement shall be either (i) reduced (but not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245" w:name="page246"/>
    <w:bookmarkEnd w:id="245"/>
    <w:p>
      <w:pPr>
        <w:jc w:val="both"/>
        <w:spacing w:after="0" w:line="248" w:lineRule="auto"/>
        <w:rPr>
          <w:sz w:val="20"/>
          <w:szCs w:val="20"/>
          <w:color w:val="auto"/>
        </w:rPr>
      </w:pPr>
      <w:r>
        <w:rPr>
          <w:rFonts w:ascii="Times New Roman" w:cs="Times New Roman" w:eastAsia="Times New Roman" w:hAnsi="Times New Roman"/>
          <w:sz w:val="22"/>
          <w:szCs w:val="22"/>
          <w:color w:val="auto"/>
        </w:rPr>
        <w:t>zero) so that the present value of such total amounts and benefits received by Executive from the Company will be one dollar ($1.00) less than three times Executive’s “base amount” (as defined in Section 280G(b)(3) of the Code) and so that no portion of such amounts and benefits received by Executive shall be subject to the excise tax imposed by Section 4999 of the Code, or (ii) paid in full, whichever produces the better net after-tax position to Executive (taking into account any applicable excise tax under Section 4999 of the Code and any other applicable taxes). The determination as to whether any such reduction in the amount of the payments provided hereunder is necessary shall be made by the Company in good faith. If a reduced payment is made or provided and through error or otherwise that payment, when aggregated with other payments and benefits from the Company used in determining if a parachute payment exists, exceeds one dollar ($1.00) less than three times Executive’s base amount, then Executive shall immediately repay such excess to the Company upon notification that an overpayment has been made. Nothing in this Agreement shall require the Company to be responsible for, or have any liability or obligation with respect to, Executive’s excise tax liabilities under Section 4999 of the Code.</w:t>
      </w:r>
    </w:p>
    <w:p>
      <w:pPr>
        <w:spacing w:after="0" w:line="189" w:lineRule="exact"/>
        <w:rPr>
          <w:sz w:val="20"/>
          <w:szCs w:val="20"/>
          <w:color w:val="auto"/>
        </w:rPr>
      </w:pPr>
    </w:p>
    <w:p>
      <w:pPr>
        <w:ind w:firstLine="656"/>
        <w:spacing w:after="0" w:line="271" w:lineRule="auto"/>
        <w:tabs>
          <w:tab w:leader="none" w:pos="1284"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The Company may withhold from any amounts payable under this Agreement such federal, state and local taxes as may be required to be withheld pursuant to any applicable law or regulation.</w:t>
      </w:r>
    </w:p>
    <w:p>
      <w:pPr>
        <w:spacing w:after="0" w:line="157" w:lineRule="exact"/>
        <w:rPr>
          <w:rFonts w:ascii="Times New Roman" w:cs="Times New Roman" w:eastAsia="Times New Roman" w:hAnsi="Times New Roman"/>
          <w:sz w:val="22"/>
          <w:szCs w:val="22"/>
          <w:color w:val="010000"/>
        </w:rPr>
      </w:pPr>
    </w:p>
    <w:p>
      <w:pPr>
        <w:jc w:val="both"/>
        <w:ind w:firstLine="656"/>
        <w:spacing w:after="0" w:line="262" w:lineRule="auto"/>
        <w:tabs>
          <w:tab w:leader="none" w:pos="1284" w:val="left"/>
        </w:tabs>
        <w:numPr>
          <w:ilvl w:val="0"/>
          <w:numId w:val="1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Titles and headings to Sections hereof are for the purpose of reference only and shall in no way limit, define or otherwise affect the provisions hereof. Unless the context requires otherwise, all references to laws, regulations, contracts, agreements and instruments refer to such laws, regulations, contracts,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 “or” is not exclusive. The words “herein”, “hereof”, “hereunder” and other compounds of the word “here” shall refer to the entire Agreement, including all Exhibits attached hereto, and not to any particular provision hereof.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71" w:lineRule="exact"/>
        <w:rPr>
          <w:rFonts w:ascii="Times New Roman" w:cs="Times New Roman" w:eastAsia="Times New Roman" w:hAnsi="Times New Roman"/>
          <w:sz w:val="21"/>
          <w:szCs w:val="21"/>
          <w:color w:val="010000"/>
        </w:rPr>
      </w:pPr>
    </w:p>
    <w:p>
      <w:pPr>
        <w:ind w:firstLine="656"/>
        <w:spacing w:after="0" w:line="271" w:lineRule="auto"/>
        <w:tabs>
          <w:tab w:leader="none" w:pos="1291"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counterparts, each of which shall be an original, with the same effect as if the signatures thereto and hereto were upon the same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246" w:name="page247"/>
    <w:bookmarkEnd w:id="246"/>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duly executed this Change in Control Severance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STEPSTONE GROUP INC.</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Jason 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9296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Jason Ment</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&amp; Co-Chief Operating Officer</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STEPSTONE GROUP LP</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StepStone Group Holdings LLC, its general partner</w:t>
      </w: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Jason 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9296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Jason Ment</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Partner, President &amp; Co-Chief Operating Officer</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David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9220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92202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David Park</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Change in Control Severance Agreement</w:t>
      </w:r>
    </w:p>
    <w:p>
      <w:pPr>
        <w:sectPr>
          <w:pgSz w:w="11900" w:h="16838" w:orient="portrait"/>
          <w:cols w:equalWidth="0" w:num="1">
            <w:col w:w="11240"/>
          </w:cols>
          <w:pgMar w:left="320" w:top="1422" w:right="339" w:bottom="1440" w:gutter="0" w:footer="0" w:header="0"/>
        </w:sectPr>
      </w:pPr>
    </w:p>
    <w:bookmarkStart w:id="247" w:name="page248"/>
    <w:bookmarkEnd w:id="247"/>
    <w:p>
      <w:pPr>
        <w:ind w:left="9880"/>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192" w:lineRule="exact"/>
        <w:rPr>
          <w:sz w:val="20"/>
          <w:szCs w:val="20"/>
          <w:color w:val="auto"/>
        </w:rPr>
      </w:pPr>
    </w:p>
    <w:p>
      <w:pPr>
        <w:ind w:left="640" w:hanging="632"/>
        <w:spacing w:after="0"/>
        <w:tabs>
          <w:tab w:leader="none" w:pos="64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Federal and state laws prohibit buying, selling or making other transfers of securities by persons who have material information that is not generally known or available to the public. These laws also prohibit persons with such material non-public information (defined in </w:t>
      </w:r>
      <w:r>
        <w:rPr>
          <w:rFonts w:ascii="Times New Roman" w:cs="Times New Roman" w:eastAsia="Times New Roman" w:hAnsi="Times New Roman"/>
          <w:sz w:val="22"/>
          <w:szCs w:val="22"/>
          <w:u w:val="single" w:color="auto"/>
          <w:color w:val="auto"/>
        </w:rPr>
        <w:t>Section II.B.</w:t>
      </w:r>
      <w:r>
        <w:rPr>
          <w:rFonts w:ascii="Times New Roman" w:cs="Times New Roman" w:eastAsia="Times New Roman" w:hAnsi="Times New Roman"/>
          <w:sz w:val="22"/>
          <w:szCs w:val="22"/>
          <w:color w:val="auto"/>
        </w:rPr>
        <w:t xml:space="preserve"> of the following policy) from disclosing this information to others who then trade.</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StepStone Group Inc. (“</w:t>
      </w:r>
      <w:r>
        <w:rPr>
          <w:rFonts w:ascii="Times New Roman" w:cs="Times New Roman" w:eastAsia="Times New Roman" w:hAnsi="Times New Roman"/>
          <w:sz w:val="22"/>
          <w:szCs w:val="22"/>
          <w:b w:val="1"/>
          <w:bCs w:val="1"/>
          <w:color w:val="auto"/>
        </w:rPr>
        <w:t>STEP</w:t>
      </w:r>
      <w:r>
        <w:rPr>
          <w:rFonts w:ascii="Times New Roman" w:cs="Times New Roman" w:eastAsia="Times New Roman" w:hAnsi="Times New Roman"/>
          <w:sz w:val="22"/>
          <w:szCs w:val="22"/>
          <w:color w:val="auto"/>
        </w:rPr>
        <w:t>” and, together with its subsidiaries,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adopted the following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regarding trading in STEP securities and securities of certain other public companies by members of the STEP Board of Directors (“</w:t>
      </w:r>
      <w:r>
        <w:rPr>
          <w:rFonts w:ascii="Times New Roman" w:cs="Times New Roman" w:eastAsia="Times New Roman" w:hAnsi="Times New Roman"/>
          <w:sz w:val="22"/>
          <w:szCs w:val="22"/>
          <w:b w:val="1"/>
          <w:bCs w:val="1"/>
          <w:color w:val="auto"/>
        </w:rPr>
        <w:t>Directors</w:t>
      </w:r>
      <w:r>
        <w:rPr>
          <w:rFonts w:ascii="Times New Roman" w:cs="Times New Roman" w:eastAsia="Times New Roman" w:hAnsi="Times New Roman"/>
          <w:sz w:val="22"/>
          <w:szCs w:val="22"/>
          <w:color w:val="auto"/>
        </w:rPr>
        <w:t>”), officers, and employees, and outside directors of the boards of directors of Company subsidiaries, and certain other persons with access to material non-public information whom the Company has notified, such as certain contractors and consultants (collectively, “</w:t>
      </w:r>
      <w:r>
        <w:rPr>
          <w:rFonts w:ascii="Times New Roman" w:cs="Times New Roman" w:eastAsia="Times New Roman" w:hAnsi="Times New Roman"/>
          <w:sz w:val="22"/>
          <w:szCs w:val="22"/>
          <w:b w:val="1"/>
          <w:bCs w:val="1"/>
          <w:color w:val="auto"/>
        </w:rPr>
        <w:t>Company Persons</w:t>
      </w:r>
      <w:r>
        <w:rPr>
          <w:rFonts w:ascii="Times New Roman" w:cs="Times New Roman" w:eastAsia="Times New Roman" w:hAnsi="Times New Roman"/>
          <w:sz w:val="22"/>
          <w:szCs w:val="22"/>
          <w:color w:val="auto"/>
        </w:rPr>
        <w:t>”). This Policy also applies to (i) Company Persons’ “</w:t>
      </w:r>
      <w:r>
        <w:rPr>
          <w:rFonts w:ascii="Times New Roman" w:cs="Times New Roman" w:eastAsia="Times New Roman" w:hAnsi="Times New Roman"/>
          <w:sz w:val="22"/>
          <w:szCs w:val="22"/>
          <w:b w:val="1"/>
          <w:bCs w:val="1"/>
          <w:color w:val="auto"/>
        </w:rPr>
        <w:t>family members</w:t>
      </w:r>
      <w:r>
        <w:rPr>
          <w:rFonts w:ascii="Times New Roman" w:cs="Times New Roman" w:eastAsia="Times New Roman" w:hAnsi="Times New Roman"/>
          <w:sz w:val="22"/>
          <w:szCs w:val="22"/>
          <w:color w:val="auto"/>
        </w:rPr>
        <w:t>”</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xml:space="preserve"> and (ii) corporations or other business entities controlled or managed by any Company Persons or their family members, and trusts or other entities for which any Company Persons or their family members is the trustee (together, “</w:t>
      </w:r>
      <w:r>
        <w:rPr>
          <w:rFonts w:ascii="Times New Roman" w:cs="Times New Roman" w:eastAsia="Times New Roman" w:hAnsi="Times New Roman"/>
          <w:sz w:val="22"/>
          <w:szCs w:val="22"/>
          <w:b w:val="1"/>
          <w:bCs w:val="1"/>
          <w:color w:val="auto"/>
        </w:rPr>
        <w:t>Controlled Entities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All references in this Policy to you or Company Persons should be read to include all family members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and Controlled Entities.</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You are responsible for ensuring that you and any family member and any applicable Controlled Entity do not violate federal or state securities laws or this Policy. Therefore, you should make your family members aware of the need to confer with you before they trade in STEP securities, and you should treat all transactions by your family members and Controlled Entities for the purposes of this Policy and applicable securities laws as if the transactions were for your own account. We designed this Policy to promote compliance with the federal securities laws and to protect the Company and you from the serious liabilities and penalties that can result from violations of these laws.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you violate the insider trading laws, you may have to pay civil fines for up to three times the profit gained or loss avoided by such trading, as well as criminal fines of up to $5 million. You also may have to serve a jail sentence of up to 20 years. In addition to the potential criminal and civil liabilities mentioned above, in certain circumstances, the Company may be able to recover all profits made by an insider who traded illegally, plus collect other damages. Furthermore, the Company (and its executive officers and Directors) could itself face penalties of up to $25 million for failing to take steps to prevent insider trading in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6459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24" w:lineRule="exact"/>
        <w:rPr>
          <w:sz w:val="20"/>
          <w:szCs w:val="20"/>
          <w:color w:val="auto"/>
        </w:rPr>
      </w:pPr>
    </w:p>
    <w:p>
      <w:pPr>
        <w:jc w:val="both"/>
        <w:ind w:left="340" w:hanging="139"/>
        <w:spacing w:after="0" w:line="241" w:lineRule="auto"/>
        <w:tabs>
          <w:tab w:leader="none" w:pos="462" w:val="left"/>
        </w:tabs>
        <w:numPr>
          <w:ilvl w:val="0"/>
          <w:numId w:val="1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this Insider Trading Policy, “family members” include anyone who resides with you (including a spouse, domestic partner, a child, a child away at college, stepchildren, grandchildren, parents, stepparents, grandparents, siblings and in-laws), anyone else who lives in your household (other than household employees), and any family members who do not live in your household but whose transactions in STEP securities are directed by you or are subject to your influence or control, such as parents or children who consult with you before they trade in STEP securities (collectively referred to as “family members”).</w:t>
      </w:r>
    </w:p>
    <w:p>
      <w:pPr>
        <w:sectPr>
          <w:pgSz w:w="11900" w:h="16838" w:orient="portrait"/>
          <w:cols w:equalWidth="0" w:num="1">
            <w:col w:w="11240"/>
          </w:cols>
          <w:pgMar w:left="320" w:top="122" w:right="339" w:bottom="1440" w:gutter="0" w:footer="0" w:header="0"/>
        </w:sectPr>
      </w:pPr>
    </w:p>
    <w:bookmarkStart w:id="248" w:name="page249"/>
    <w:bookmarkEnd w:id="248"/>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Without regard to the civil or criminal penalties that may be imposed by others, willful violation of this Policy and its procedures may constitute grounds for dismissal.</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Both the U.S.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and The Nasdaq Stock Market LLC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are very effective at detecting and pursuing insider trading cases. The SEC has successfully prosecuted cases against employees trading through foreign accounts, trading by family members and friends, and trading involving only a small number of shares. Therefore, it is important that you understand the breadth of activities that constitute illegal insider trading. This Policy sets out the Company’s policy in the area of insider trading and should be read carefully and complied with fully. Employees are also subject to the Company’s Code of Ethics, which requires full compliance with all applicable trading restrictions in this Policy.</w:t>
      </w:r>
    </w:p>
    <w:p>
      <w:pPr>
        <w:spacing w:after="0" w:line="188" w:lineRule="exact"/>
        <w:rPr>
          <w:sz w:val="20"/>
          <w:szCs w:val="20"/>
          <w:color w:val="auto"/>
        </w:rPr>
      </w:pPr>
    </w:p>
    <w:p>
      <w:pPr>
        <w:ind w:left="660" w:right="8400" w:hanging="652"/>
        <w:spacing w:after="0" w:line="471" w:lineRule="auto"/>
        <w:tabs>
          <w:tab w:leader="none" w:pos="653" w:val="left"/>
        </w:tabs>
        <w:numPr>
          <w:ilvl w:val="0"/>
          <w:numId w:val="1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Policies and Procedures </w:t>
      </w:r>
      <w:r>
        <w:rPr>
          <w:rFonts w:ascii="Times New Roman" w:cs="Times New Roman" w:eastAsia="Times New Roman" w:hAnsi="Times New Roman"/>
          <w:sz w:val="21"/>
          <w:szCs w:val="21"/>
          <w:b w:val="1"/>
          <w:bCs w:val="1"/>
          <w:color w:val="010000"/>
        </w:rPr>
        <w:t xml:space="preserve">A. </w:t>
      </w:r>
      <w:r>
        <w:rPr>
          <w:rFonts w:ascii="Times New Roman" w:cs="Times New Roman" w:eastAsia="Times New Roman" w:hAnsi="Times New Roman"/>
          <w:sz w:val="21"/>
          <w:szCs w:val="21"/>
          <w:b w:val="1"/>
          <w:bCs w:val="1"/>
          <w:color w:val="000000"/>
        </w:rPr>
        <w:t>Trading Policy</w:t>
      </w:r>
    </w:p>
    <w:p>
      <w:pPr>
        <w:spacing w:after="0" w:line="1" w:lineRule="exact"/>
        <w:rPr>
          <w:rFonts w:ascii="Times New Roman" w:cs="Times New Roman" w:eastAsia="Times New Roman" w:hAnsi="Times New Roman"/>
          <w:sz w:val="21"/>
          <w:szCs w:val="21"/>
          <w:b w:val="1"/>
          <w:bCs w:val="1"/>
          <w:color w:val="auto"/>
        </w:rPr>
      </w:pPr>
    </w:p>
    <w:p>
      <w:pPr>
        <w:jc w:val="both"/>
        <w:ind w:left="1560" w:firstLine="639"/>
        <w:spacing w:after="0" w:line="261" w:lineRule="auto"/>
        <w:tabs>
          <w:tab w:leader="none" w:pos="2599" w:val="left"/>
        </w:tabs>
        <w:numPr>
          <w:ilvl w:val="2"/>
          <w:numId w:val="1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otherwise specified below with respect to certain exempt transactions or in </w:t>
      </w:r>
      <w:r>
        <w:rPr>
          <w:rFonts w:ascii="Times New Roman" w:cs="Times New Roman" w:eastAsia="Times New Roman" w:hAnsi="Times New Roman"/>
          <w:sz w:val="21"/>
          <w:szCs w:val="21"/>
          <w:u w:val="single" w:color="auto"/>
          <w:color w:val="auto"/>
        </w:rPr>
        <w:t>Section II.E</w:t>
      </w:r>
      <w:r>
        <w:rPr>
          <w:rFonts w:ascii="Times New Roman" w:cs="Times New Roman" w:eastAsia="Times New Roman" w:hAnsi="Times New Roman"/>
          <w:sz w:val="21"/>
          <w:szCs w:val="21"/>
          <w:color w:val="auto"/>
        </w:rPr>
        <w:t xml:space="preserve"> below, you may not trade, either personally or on behalf of others (such as investment funds and private accounts managed by the Company) in STEP securities or securities of Covered Companies (as defined below), while in possession of material non-public information about the relevant company. This Policy against “insider trading” applies to trading in (i) STEP securities, while you are in possession of material non-public information concerning the Company or STEP securities, and (ii) trading in the securities of (x) the Company’s clients, customers and vendors and (y) any entity with which the Company is evaluating or negotiating a major investment or other transaction or opportunity if, in the case of clauses (x) and (y), in the course of working for the Company, you learn of material non-public information about any such company or its securities (entities described in clauses (x) and (y) referred to collectively as “</w:t>
      </w:r>
      <w:r>
        <w:rPr>
          <w:rFonts w:ascii="Times New Roman" w:cs="Times New Roman" w:eastAsia="Times New Roman" w:hAnsi="Times New Roman"/>
          <w:sz w:val="21"/>
          <w:szCs w:val="21"/>
          <w:b w:val="1"/>
          <w:bCs w:val="1"/>
          <w:color w:val="auto"/>
        </w:rPr>
        <w:t>Covered Companies</w:t>
      </w:r>
      <w:r>
        <w:rPr>
          <w:rFonts w:ascii="Times New Roman" w:cs="Times New Roman" w:eastAsia="Times New Roman" w:hAnsi="Times New Roman"/>
          <w:sz w:val="21"/>
          <w:szCs w:val="21"/>
          <w:color w:val="auto"/>
        </w:rPr>
        <w:t>”). See also additional restrictions set forth in Section II.B.3 below for additional information regarding certain other companies.</w:t>
      </w:r>
    </w:p>
    <w:p>
      <w:pPr>
        <w:spacing w:after="0" w:line="175" w:lineRule="exact"/>
        <w:rPr>
          <w:rFonts w:ascii="Times New Roman" w:cs="Times New Roman" w:eastAsia="Times New Roman" w:hAnsi="Times New Roman"/>
          <w:sz w:val="21"/>
          <w:szCs w:val="21"/>
          <w:color w:val="010000"/>
        </w:rPr>
      </w:pPr>
    </w:p>
    <w:p>
      <w:pPr>
        <w:jc w:val="both"/>
        <w:ind w:left="1560" w:firstLine="639"/>
        <w:spacing w:after="0" w:line="248" w:lineRule="auto"/>
        <w:tabs>
          <w:tab w:leader="none" w:pos="2599" w:val="left"/>
        </w:tabs>
        <w:numPr>
          <w:ilvl w:val="2"/>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You may not convey material non-public information about the Company or any Covered Company to others. You also may not suggest that anyone purchase or sell STEP securities or any other Covered Company’s securities described in paragraph 1 of this Section II.A, while you are aware of material non-public information about the relevant company. These practices, known as “tipping,” also violate the U.S. securities laws and can result in the same civil and criminal penalties that apply if you engage in insider trading directly, even if you do not receive any money or derive any benefit from trades made by persons to whom you passed material non-public information. This policy against “tipping” applies to information about the Company and STEP securities, as well as to information about Covered Companies and their securities as described in paragraph 1 of this Section II.A. This policy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98" w:lineRule="exact"/>
        <w:rPr>
          <w:sz w:val="20"/>
          <w:szCs w:val="20"/>
          <w:color w:val="auto"/>
        </w:rPr>
      </w:pPr>
    </w:p>
    <w:p>
      <w:pPr>
        <w:jc w:val="both"/>
        <w:ind w:left="1560"/>
        <w:spacing w:after="0" w:line="251" w:lineRule="auto"/>
        <w:rPr>
          <w:sz w:val="20"/>
          <w:szCs w:val="20"/>
          <w:color w:val="auto"/>
        </w:rPr>
      </w:pPr>
      <w:r>
        <w:rPr>
          <w:rFonts w:ascii="Times New Roman" w:cs="Times New Roman" w:eastAsia="Times New Roman" w:hAnsi="Times New Roman"/>
          <w:sz w:val="22"/>
          <w:szCs w:val="22"/>
          <w:color w:val="auto"/>
        </w:rPr>
        <w:t>restrict legitimate business communications on a “need to know” basis. Material non-public information, however, should not be disclosed to persons outside the Company unless you are specifically authorized to disclose such information and such disclosure is made in accordance with the Company’s policies regarding the protection or authorized external disclosure of information regarding the Company (including, in some cases and if appropriate, a written confidentiality agreement). For additional information, please see STEP’s Guidelines for Public Disclosures and Communications with the Investment Community.</w:t>
      </w:r>
    </w:p>
    <w:p>
      <w:pPr>
        <w:spacing w:after="0" w:line="181" w:lineRule="exact"/>
        <w:rPr>
          <w:sz w:val="20"/>
          <w:szCs w:val="20"/>
          <w:color w:val="auto"/>
        </w:rPr>
      </w:pPr>
    </w:p>
    <w:p>
      <w:pPr>
        <w:jc w:val="both"/>
        <w:ind w:left="1560" w:firstLine="639"/>
        <w:spacing w:after="0" w:line="253" w:lineRule="auto"/>
        <w:tabs>
          <w:tab w:leader="none" w:pos="2599"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you are a Restricted Person (as defined below in Section III), you are prohibited from engaging in short-term or speculative transactions in STEP securities. As such, you may not engage in: (i) short-term trading (generally defined as selling STEP securities within six months following a purchase or vice versa); (ii) short sales (selling STEP securities you do not own); and (iii) transactions involving publicly traded options or other derivatives, such as trade in puts or calls in STEP securities.</w:t>
      </w:r>
    </w:p>
    <w:p>
      <w:pPr>
        <w:spacing w:after="0" w:line="178" w:lineRule="exact"/>
        <w:rPr>
          <w:rFonts w:ascii="Times New Roman" w:cs="Times New Roman" w:eastAsia="Times New Roman" w:hAnsi="Times New Roman"/>
          <w:sz w:val="22"/>
          <w:szCs w:val="22"/>
          <w:color w:val="010000"/>
        </w:rPr>
      </w:pPr>
    </w:p>
    <w:p>
      <w:pPr>
        <w:jc w:val="both"/>
        <w:ind w:left="1560" w:firstLine="639"/>
        <w:spacing w:after="0" w:line="253" w:lineRule="auto"/>
        <w:tabs>
          <w:tab w:leader="none" w:pos="2599"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you are a Restricted Person, you (and your designees) are prohibited from purchasing financial instruments (including, but not limited to, prepaid variable forward contracts, equity swaps, collars, and exchange funds) and from otherwise engaging in transactions that hedge or offset, or are designed to hedge or offset, any decrease in the market value of STEP securities (i) granted to you by the Company or (ii) held, directly or indirectly, by you.</w:t>
      </w:r>
    </w:p>
    <w:p>
      <w:pPr>
        <w:spacing w:after="0" w:line="178" w:lineRule="exact"/>
        <w:rPr>
          <w:rFonts w:ascii="Times New Roman" w:cs="Times New Roman" w:eastAsia="Times New Roman" w:hAnsi="Times New Roman"/>
          <w:sz w:val="22"/>
          <w:szCs w:val="22"/>
          <w:color w:val="010000"/>
        </w:rPr>
      </w:pPr>
    </w:p>
    <w:p>
      <w:pPr>
        <w:jc w:val="both"/>
        <w:ind w:left="1560" w:firstLine="639"/>
        <w:spacing w:after="0" w:line="272" w:lineRule="auto"/>
        <w:tabs>
          <w:tab w:leader="none" w:pos="2599" w:val="left"/>
        </w:tabs>
        <w:numPr>
          <w:ilvl w:val="0"/>
          <w:numId w:val="1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Additionally, because securities held in a margin account or pledged as collateral may be sold without your consent if you fail to meet a margin call or if you default on a loan, a margin or foreclosure sale may result in unlawful insider trading. Because of this danger, if you are a Restricted Person, you are prohibited from holding STEP securities in a margin account or pledging STEP securities as collateral for a loan.</w:t>
      </w:r>
    </w:p>
    <w:p>
      <w:pPr>
        <w:spacing w:after="0" w:line="160" w:lineRule="exact"/>
        <w:rPr>
          <w:rFonts w:ascii="Times New Roman" w:cs="Times New Roman" w:eastAsia="Times New Roman" w:hAnsi="Times New Roman"/>
          <w:sz w:val="21"/>
          <w:szCs w:val="21"/>
          <w:color w:val="010000"/>
        </w:rPr>
      </w:pPr>
    </w:p>
    <w:p>
      <w:pPr>
        <w:jc w:val="both"/>
        <w:ind w:left="1560" w:firstLine="639"/>
        <w:spacing w:after="0" w:line="248" w:lineRule="auto"/>
        <w:tabs>
          <w:tab w:leader="none" w:pos="2599"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you are a Restricted Person that is neither an officer nor a Director of STEP, and you are not otherwise a Section 16 Reporting Person (as defined below), you may request an exemption from clauses 4 and 5 above, which exemption must be approved by the Chief Legal Officer (“</w:t>
      </w:r>
      <w:r>
        <w:rPr>
          <w:rFonts w:ascii="Times New Roman" w:cs="Times New Roman" w:eastAsia="Times New Roman" w:hAnsi="Times New Roman"/>
          <w:sz w:val="22"/>
          <w:szCs w:val="22"/>
          <w:b w:val="1"/>
          <w:bCs w:val="1"/>
          <w:color w:val="auto"/>
        </w:rPr>
        <w:t>CLO</w:t>
      </w:r>
      <w:r>
        <w:rPr>
          <w:rFonts w:ascii="Times New Roman" w:cs="Times New Roman" w:eastAsia="Times New Roman" w:hAnsi="Times New Roman"/>
          <w:sz w:val="22"/>
          <w:szCs w:val="22"/>
          <w:color w:val="auto"/>
        </w:rPr>
        <w:t xml:space="preserve">”) and either the President or the Chief Executive Officer of STEP. After receiving such approval, any (a) hedging or offset, or (b) holding of STEP securities in a margin account or pledging STEP securities as collateral, may occur,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you confirm to the Chief Compliance Officer (“</w:t>
      </w:r>
      <w:r>
        <w:rPr>
          <w:rFonts w:ascii="Times New Roman" w:cs="Times New Roman" w:eastAsia="Times New Roman" w:hAnsi="Times New Roman"/>
          <w:sz w:val="22"/>
          <w:szCs w:val="22"/>
          <w:b w:val="1"/>
          <w:bCs w:val="1"/>
          <w:color w:val="auto"/>
        </w:rPr>
        <w:t>CCO</w:t>
      </w:r>
      <w:r>
        <w:rPr>
          <w:rFonts w:ascii="Times New Roman" w:cs="Times New Roman" w:eastAsia="Times New Roman" w:hAnsi="Times New Roman"/>
          <w:sz w:val="22"/>
          <w:szCs w:val="22"/>
          <w:color w:val="auto"/>
        </w:rPr>
        <w:t>”) that you do not possess material non-public information regarding the Company or STEP securities and (ii) the Company concurs that it is not aware that you possess such material non-public information, and in the case of clause (b) above, (iii) the applicable secured party agrees that any exercise of such party’s rights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98" w:lineRule="exact"/>
        <w:rPr>
          <w:sz w:val="20"/>
          <w:szCs w:val="20"/>
          <w:color w:val="auto"/>
        </w:rPr>
      </w:pPr>
    </w:p>
    <w:p>
      <w:pPr>
        <w:jc w:val="both"/>
        <w:ind w:left="1560"/>
        <w:spacing w:after="0" w:line="257" w:lineRule="auto"/>
        <w:rPr>
          <w:sz w:val="20"/>
          <w:szCs w:val="20"/>
          <w:color w:val="auto"/>
        </w:rPr>
      </w:pPr>
      <w:r>
        <w:rPr>
          <w:rFonts w:ascii="Times New Roman" w:cs="Times New Roman" w:eastAsia="Times New Roman" w:hAnsi="Times New Roman"/>
          <w:sz w:val="22"/>
          <w:szCs w:val="22"/>
          <w:color w:val="auto"/>
        </w:rPr>
        <w:t>the margin account or collateral is subject to (A) your confirmation that you do not possess material non-public information regarding the Company or STEP securities at the time of such exercise and (B) the Company’s concurrence that it is not aware that you possess such material non-public information.</w:t>
      </w:r>
    </w:p>
    <w:p>
      <w:pPr>
        <w:spacing w:after="0" w:line="186" w:lineRule="exact"/>
        <w:rPr>
          <w:sz w:val="20"/>
          <w:szCs w:val="20"/>
          <w:color w:val="auto"/>
        </w:rPr>
      </w:pPr>
    </w:p>
    <w:p>
      <w:pPr>
        <w:jc w:val="both"/>
        <w:ind w:left="1560" w:firstLine="639"/>
        <w:spacing w:after="0" w:line="251" w:lineRule="auto"/>
        <w:tabs>
          <w:tab w:leader="none" w:pos="2599"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Policy, a sale of shares of Class A common stock directed by STEP, including those held by Restricted Persons who are not Section 16 Reporting Persons, in order to cover STEP’s or such Restricted Person’s withholding tax obligations in accordance with STEP’s long-term incentive plan resulting, for example, from the vesting or settlement of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under such plan or sales to cover taxes from the vesting or settlement of RSUs pursuant to pre-existing award agreements, shall not be considered “trading” or a “transaction” that is covered by this Policy.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the avoidance of doubt, the foregoing restrictions apply to all Company Persons, as well as their respective family members and such persons’ Controlled Entities. The SEC and federal prosecutors may presume that trading by family members and Controlled Entities is based on information you supplied and may treat any such transactions as if you had traded yourself. There is no exception for small transactions or transactions that may seem necessary or justifiable for independent reasons, such as the need to raise money for an emergency expenditure.</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Policy, other than as specifically provided above, references to “trading” and “transactions” include, among other things:</w:t>
      </w:r>
    </w:p>
    <w:p>
      <w:pPr>
        <w:spacing w:after="0" w:line="158" w:lineRule="exact"/>
        <w:rPr>
          <w:sz w:val="20"/>
          <w:szCs w:val="20"/>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and sales of STEP securities;</w:t>
      </w:r>
    </w:p>
    <w:p>
      <w:pPr>
        <w:spacing w:after="0" w:line="21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STEP securities obtained through purchases in the employee stock purchase plan (“</w:t>
      </w:r>
      <w:r>
        <w:rPr>
          <w:rFonts w:ascii="Times New Roman" w:cs="Times New Roman" w:eastAsia="Times New Roman" w:hAnsi="Times New Roman"/>
          <w:sz w:val="22"/>
          <w:szCs w:val="22"/>
          <w:b w:val="1"/>
          <w:bCs w:val="1"/>
          <w:color w:val="auto"/>
        </w:rPr>
        <w:t>ESPP</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STEP securities obtained through the exercise of employee stock options granted by the Company, including as part of broker-assisted cashless exercise (i.e., the broker selling some or all of the shares underlying the option on the open market), or following vesting and settlement of RSUs or other equity grants (other than as provided in Section II.A.7 above);</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gifts of STEP securities;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STEP securities to secure a loan.</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While the exercise of STEP stock options granted under the Company’s equity plan is not generally considered to be a “transaction” for purposes of this Policy if no shares are to be sold or if there is a “net share exercise,” any such exercise should still be pre-cleared in accordance with procedures set forth in </w:t>
      </w:r>
      <w:r>
        <w:rPr>
          <w:rFonts w:ascii="Times New Roman" w:cs="Times New Roman" w:eastAsia="Times New Roman" w:hAnsi="Times New Roman"/>
          <w:sz w:val="22"/>
          <w:szCs w:val="22"/>
          <w:u w:val="single" w:color="auto"/>
          <w:color w:val="auto"/>
        </w:rPr>
        <w:t>Section II.D.4</w:t>
      </w:r>
      <w:r>
        <w:rPr>
          <w:rFonts w:ascii="Times New Roman" w:cs="Times New Roman" w:eastAsia="Times New Roman" w:hAnsi="Times New Roman"/>
          <w:sz w:val="22"/>
          <w:szCs w:val="22"/>
          <w:color w:val="auto"/>
        </w:rPr>
        <w:t xml:space="preserve"> below for those persons who are subject to the pre-clearance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For the avoidance of doubt, the following are not considered to be “transactions” that are subject to this Policy: (i) purchases of STEP securities (or securities convertible into STEP securities) from the Company in a transaction approved by the STEP Board of Directors or exchanging, or electing to exchange, Class B, Class C or Class D partnership units of StepStone Group LP for Class A shares of STEP; (ii) sales of STEP securities in a registered offering approved by the STEP Board of Directors; (iii) transferring shares to an entity that does not involve a change in the Beneficial Ownership (as defined below) of the shares (for example, transferring shares from one brokerage account you control to another brokerage account you control);</w:t>
      </w:r>
    </w:p>
    <w:p>
      <w:pPr>
        <w:spacing w:after="0" w:line="1" w:lineRule="exact"/>
        <w:rPr>
          <w:sz w:val="20"/>
          <w:szCs w:val="20"/>
          <w:color w:val="auto"/>
        </w:rPr>
      </w:pPr>
    </w:p>
    <w:p>
      <w:pPr>
        <w:jc w:val="both"/>
        <w:ind w:firstLine="8"/>
        <w:spacing w:after="0" w:line="245" w:lineRule="auto"/>
        <w:tabs>
          <w:tab w:leader="none" w:pos="37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those who are not Restricted Persons, purchases of STEP securities resulting solely from the automated reinvestment of STEP dividends via Morgan Stanley (or an Alternative Broker, where applicable);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your election to participate in the reinvestment program or increasing or decreasing your level of participation must be done when you are not in possession of material non-public information about the Company or STEP securities; and (v) the vesting and settlement of restricted stock units or restricted stock, or the exercise of a tax withholding right pursuant to which you or the Company elect to have STEP withhold shares of stock to satisfy tax withholding requirements upon the vesting of any restricted stock or settlement of any restricted stock units, without any accompanying market sale of shares acquired upon vesting or settlement, as applicable. This Policy also does not apply to purchases of STEP securities in the ESPP: (i) resulting from your periodic contribution of money to the plan pursuant to the election you made at the time of your enrollment in the ESPP; or (ii) resulting from lump sum contributions to the ESPP;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you elected to participate by lump sum payment at the beginning of the applicable enrollment period. This Policy does apply, however, to your election to participate in the ESPP for any enrollment period, but enrollment or changes in the amount of periodic contributions do not require pre-clearance through the Compliance Platform as the Company will perform pre-clearance in respect of your election without your initiation. In contrast, your sales of STEP securities purchased pursuant to the ESPP are subject to pre-clearance as indicated above. Transactions in mutual funds or exchange-traded funds that are invested in STEP securities are not transactions subject to this Policy as long as (i) you do not control the investment decisions on individual stocks within the fund or portfolio and (ii) STEP securities do not represent greater than five percent (5%) of the assets of the fund or portfolio. You should consult with the CCO or the CLO, if you have any questions.</w:t>
      </w:r>
    </w:p>
    <w:p>
      <w:pPr>
        <w:spacing w:after="0" w:line="211" w:lineRule="exact"/>
        <w:rPr>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What is “Material Non-Public Information”?</w:t>
      </w:r>
    </w:p>
    <w:p>
      <w:pPr>
        <w:spacing w:after="0" w:line="223" w:lineRule="exact"/>
        <w:rPr>
          <w:rFonts w:ascii="Times New Roman" w:cs="Times New Roman" w:eastAsia="Times New Roman" w:hAnsi="Times New Roman"/>
          <w:sz w:val="22"/>
          <w:szCs w:val="22"/>
          <w:b w:val="1"/>
          <w:bCs w:val="1"/>
          <w:color w:val="010000"/>
        </w:rPr>
      </w:pPr>
    </w:p>
    <w:p>
      <w:pPr>
        <w:ind w:left="2600" w:hanging="401"/>
        <w:spacing w:after="0"/>
        <w:tabs>
          <w:tab w:leader="none" w:pos="2600"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Material Information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Information is material where there is a substantial likelihood that a reasonable investor would consider it important in making his or her investment decisions. Either positive or negative information may be material. No simple test exists to determine when information is material; assessments of materiality involve a highly fact-specific inquiry. For this reason, you should direct any questions about whether information is material, as well as any questions regarding specific transactions, to the CLO.</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Material information often relates to a company’s financial results and business operations, including, for example, earnings results, changes in previously released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estimates, unexpected financial results, unpublished financial reports or projections, dividend changes, stock splits, the proposed or contemplated issuance, redemption or repurchase of securities, significant merger or acquisition proposals or agreements, actual or threatened significant litigation, liquidity problems, extraordinary management developments, changes in control, and any other facts which might cause the company’s financial results to be substantially affected. Information that affects a company’s earnings and business may be material, including, with respect to the Company, important metrics like assets under management, assets under advisement, fee-related earnings and fee-earning assets under management. In addition, information about a company’s underlying performance may be material, such as, with respect to the Company, information about the launch of new funds of the Company, the Company’s data and technology platforms (including certain significant cybersecurity incidents) and the Company’s funds or investments. Material information also may relate to the market for a company’s securities or changes in officers or directors. Information about a significant order to purchase or sell securities may, in some contexts, be material. Pre-publication information regarding reports in the financial media also may be material.</w:t>
      </w:r>
    </w:p>
    <w:p>
      <w:pPr>
        <w:spacing w:after="0" w:line="18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Federal and Nasdaq investigators will scrutinize a questionable trade after the fact with the benefit of hindsight, so you should always err on the side of deciding that the information is material and not trade.</w:t>
      </w:r>
    </w:p>
    <w:p>
      <w:pPr>
        <w:spacing w:after="0" w:line="158" w:lineRule="exact"/>
        <w:rPr>
          <w:sz w:val="20"/>
          <w:szCs w:val="20"/>
          <w:color w:val="auto"/>
        </w:rPr>
      </w:pPr>
    </w:p>
    <w:p>
      <w:pPr>
        <w:ind w:left="2600" w:hanging="401"/>
        <w:spacing w:after="0"/>
        <w:tabs>
          <w:tab w:leader="none" w:pos="2600"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Non-public Information</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Non-public information is information that is not generally known or available to the public. Information is “public” when it has been disseminated broadly to investors in the marketplace. For example, information is public after it has become available to the general public through a properly noticed broadcast, a public filing with the SEC, a company press release over the business wire, the Dow Jones “tape,” The Wall Street Journal or some other publication of general circulation, and after sufficient time has passed so that the information has been widely disseminated. Generally, for purposes of this Policy as it applies to trading in STEP securities, you should consider information to be non-public until one full trading day (i.e., a day on which the Nasdaq is open for trading) have lapsed following public disclosure. The fact that rumors, speculation, or statements attributed to unidentified sources are public is insufficient to be considered widely disseminated even when the information is accurate.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Discussing previously disclosed historical information about the Company or facts that are generally known to the public is not ordinarily a prohibited disclosure. However, commenting on or updating previously disclosed information (e.g., financial projections) may in certain circumstances constitute disclosure of material non-public information.</w:t>
      </w:r>
    </w:p>
    <w:p>
      <w:pPr>
        <w:spacing w:after="0" w:line="167" w:lineRule="exact"/>
        <w:rPr>
          <w:sz w:val="20"/>
          <w:szCs w:val="20"/>
          <w:color w:val="auto"/>
        </w:rPr>
      </w:pPr>
    </w:p>
    <w:p>
      <w:pPr>
        <w:ind w:left="2600" w:hanging="401"/>
        <w:spacing w:after="0"/>
        <w:tabs>
          <w:tab w:leader="none" w:pos="2600"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Material Non-Public Information Regarding Other Companies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Company and its Directors, officers, and employees frequently receive material non-public information in the course of our due diligence activities (typically, but not exclusively, in connection with potential co-investments) or as part of our research efforts. In this context, it is crucial for Supervised Persons (as defined below in Section III) to immediately notify the CCO or the CCO of StepStone Group Europe Alternative Investments Limited (“</w:t>
      </w:r>
      <w:r>
        <w:rPr>
          <w:rFonts w:ascii="Times New Roman" w:cs="Times New Roman" w:eastAsia="Times New Roman" w:hAnsi="Times New Roman"/>
          <w:sz w:val="22"/>
          <w:szCs w:val="22"/>
          <w:b w:val="1"/>
          <w:bCs w:val="1"/>
          <w:color w:val="auto"/>
        </w:rPr>
        <w:t>SGEAIL CCO</w:t>
      </w:r>
      <w:r>
        <w:rPr>
          <w:rFonts w:ascii="Times New Roman" w:cs="Times New Roman" w:eastAsia="Times New Roman" w:hAnsi="Times New Roman"/>
          <w:sz w:val="22"/>
          <w:szCs w:val="22"/>
          <w:color w:val="auto"/>
        </w:rPr>
        <w: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applicable, if a company for which we have material non-public information has outstanding public securities, so that they can be placed on the Restricted List (as defined below in Section III). Similarly, Supervised Persons should notify the CCO or SGEAIL CCO, as applicable, if the general partner or sponsor of a fund that the Company has put into due diligence has publicly traded securities outstanding, since the due diligence process is likely to involve contact with material non-public information. This requirement applies even if the security represents only a very small public stub, is obscure and not readily discoverable through internet searches, is listed solely on a remote foreign exchange or not listed on any exchange, and trades only very thinly or not at all. To protect yourself, our clients and the Company, you should contact the CCO or SGEAIL CCO, as applicable, immediately if you believe that you may have received material non-public information concerning a public company. After the CCO or SGEAIL CCO, as applicable, has reviewed the issue, the Company will determine whether the information is material and non-public and, if so, what action the Company will take.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Before executing any trade for yourself or others, including investment funds or private accounts managed by the Company, or recommending a trade to others, you must determine whether you have access to material non-public information about a company. If you think that you might have access to such material non-public information, you are obligated to:</w:t>
      </w:r>
    </w:p>
    <w:p>
      <w:pPr>
        <w:spacing w:after="0" w:line="173" w:lineRule="exact"/>
        <w:rPr>
          <w:sz w:val="20"/>
          <w:szCs w:val="20"/>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 the information and proposed trade immediately to the CCO or SGEAIL CCO, as applicable.</w:t>
      </w:r>
    </w:p>
    <w:p>
      <w:pPr>
        <w:spacing w:after="0" w:line="233"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Refrain from purchasing or selling the securities on behalf of yourself or others, including investment funds or private accounts managed by the Company.</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Avoid communicating the information inside or outside the Company, other than to the CCO or SGEAIL CCO, as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applicable.</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Tender offers represent a particular concern in the law of insider trading for two reasons. First, tender offer activity often produces extraordinary fluctuations in the price of the target company’s securities. Trading during this time period is more likely to attract regulatory attention (and produces a disproportionate percentage of insider trading cases). Second, the SEC has adopted a rule which expressly forbids trading and “tipping” while in the possession of material non-public information regarding a tender offer received from the tender offeror, the target company or anyone acting on behalf of either. Independent Directors and Supervised Persons should exercise extreme caution any time they become aware of non-public information relating to a tender offer.</w:t>
      </w:r>
    </w:p>
    <w:p>
      <w:pPr>
        <w:spacing w:after="0" w:line="175"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Unauthorized Disclosure</w:t>
      </w:r>
    </w:p>
    <w:p>
      <w:pPr>
        <w:spacing w:after="0" w:line="22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All Company Persons must maintain the confidentiality of Company information for competitive, security and other business reasons, as well as to comply with securities laws. All information you learn about the Company or its business plans is potentially non-public information until it is publicly disclosed. You should treat this information as confidential and proprietary to the Company. You may not disclose it to others, such as family members, other relatives, or business or social acquaintances.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Also, 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 and investors and only in accordance with the Company’s Guidelines for Public Disclosures and Communications with the Investment Community. If you receive inquiries of this nature, refer them to the CLO.</w:t>
      </w:r>
    </w:p>
    <w:p>
      <w:pPr>
        <w:spacing w:after="0" w:line="175" w:lineRule="exact"/>
        <w:rPr>
          <w:sz w:val="20"/>
          <w:szCs w:val="20"/>
          <w:color w:val="auto"/>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When and How to Trade Company Stock</w:t>
      </w:r>
    </w:p>
    <w:p>
      <w:pPr>
        <w:spacing w:after="0" w:line="223" w:lineRule="exact"/>
        <w:rPr>
          <w:rFonts w:ascii="Times New Roman" w:cs="Times New Roman" w:eastAsia="Times New Roman" w:hAnsi="Times New Roman"/>
          <w:sz w:val="22"/>
          <w:szCs w:val="22"/>
          <w:b w:val="1"/>
          <w:bCs w:val="1"/>
          <w:color w:val="auto"/>
        </w:rPr>
      </w:pPr>
    </w:p>
    <w:p>
      <w:pPr>
        <w:ind w:left="2600" w:hanging="401"/>
        <w:spacing w:after="0"/>
        <w:tabs>
          <w:tab w:leader="none" w:pos="2600" w:val="left"/>
        </w:tabs>
        <w:numPr>
          <w:ilvl w:val="1"/>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Overview</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The Company requires its Independent Directors, Supervised Persons and Restricted Persons (as defined below in Section III) to pre-clear trades via the Compliance Platform (as defined below) (or, for Independent Directors, with the CLO or the CLO’s designee) and, for United States based persons, to hold all STEP securities via the Morgan Stanley equity administration system (including family members (as defined above) and Controlled Entities of such persons, other than family members who do not share any such person’s household)</w:t>
      </w:r>
      <w:r>
        <w:rPr>
          <w:rFonts w:ascii="Times New Roman" w:cs="Times New Roman" w:eastAsia="Times New Roman" w:hAnsi="Times New Roman"/>
          <w:sz w:val="22"/>
          <w:szCs w:val="22"/>
          <w:color w:val="auto"/>
        </w:rPr>
        <w:t>. Regardless of your status, you may not trade STEP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if you are aware of material non-public information about STEP.</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Furthermore, Restricted Persons are required to comply with the additional restrictions covered below. Even if you are not a Restricted Person, however, following the procedures listed below may assist you in complying with this Policy.</w:t>
      </w:r>
    </w:p>
    <w:p>
      <w:pPr>
        <w:spacing w:after="0" w:line="144" w:lineRule="exact"/>
        <w:rPr>
          <w:sz w:val="20"/>
          <w:szCs w:val="20"/>
          <w:color w:val="auto"/>
        </w:rPr>
      </w:pPr>
    </w:p>
    <w:p>
      <w:pPr>
        <w:ind w:left="2600" w:hanging="401"/>
        <w:spacing w:after="0"/>
        <w:tabs>
          <w:tab w:leader="none" w:pos="2600"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Window Periods</w:t>
      </w:r>
    </w:p>
    <w:p>
      <w:pPr>
        <w:spacing w:after="0" w:line="220" w:lineRule="exact"/>
        <w:rPr>
          <w:sz w:val="20"/>
          <w:szCs w:val="20"/>
          <w:color w:val="auto"/>
        </w:rPr>
      </w:pPr>
    </w:p>
    <w:p>
      <w:pPr>
        <w:jc w:val="both"/>
        <w:ind w:firstLine="648"/>
        <w:spacing w:after="0" w:line="266" w:lineRule="exact"/>
        <w:rPr>
          <w:sz w:val="20"/>
          <w:szCs w:val="20"/>
          <w:color w:val="auto"/>
        </w:rPr>
      </w:pPr>
      <w:r>
        <w:rPr>
          <w:rFonts w:ascii="Times New Roman" w:cs="Times New Roman" w:eastAsia="Times New Roman" w:hAnsi="Times New Roman"/>
          <w:sz w:val="22"/>
          <w:szCs w:val="22"/>
          <w:color w:val="auto"/>
        </w:rPr>
        <w:t>Restricted Persons, as well as their family members and Controlled Entities, may only trade in STEP securities from the date that is one full trading day after an earnings release to the end of business on the 15th of each March, June, September and December (such period, the “</w:t>
      </w:r>
      <w:r>
        <w:rPr>
          <w:rFonts w:ascii="Times New Roman" w:cs="Times New Roman" w:eastAsia="Times New Roman" w:hAnsi="Times New Roman"/>
          <w:sz w:val="22"/>
          <w:szCs w:val="22"/>
          <w:b w:val="1"/>
          <w:bCs w:val="1"/>
          <w:color w:val="auto"/>
        </w:rPr>
        <w:t>Window Period</w:t>
      </w:r>
      <w:r>
        <w:rPr>
          <w:rFonts w:ascii="Times New Roman" w:cs="Times New Roman" w:eastAsia="Times New Roman" w:hAnsi="Times New Roman"/>
          <w:sz w:val="22"/>
          <w:szCs w:val="22"/>
          <w:color w:val="auto"/>
        </w:rPr>
        <w:t>”). If, however, the Window Period is scheduled to close on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trading day, the Window Period will close at the close of trading on the previous trading day.</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However, even if the Window Period is open, Restricted Persons may not trade in STEP securities if such person is aware of material non-public information about the Company or STEP securities. In addition, Restricted Persons must pre-clear transactions via the Company’s third party compliance software provider (the “</w:t>
      </w:r>
      <w:r>
        <w:rPr>
          <w:rFonts w:ascii="Times New Roman" w:cs="Times New Roman" w:eastAsia="Times New Roman" w:hAnsi="Times New Roman"/>
          <w:sz w:val="22"/>
          <w:szCs w:val="22"/>
          <w:b w:val="1"/>
          <w:bCs w:val="1"/>
          <w:color w:val="auto"/>
        </w:rPr>
        <w:t>Compliance Platform</w:t>
      </w:r>
      <w:r>
        <w:rPr>
          <w:rFonts w:ascii="Times New Roman" w:cs="Times New Roman" w:eastAsia="Times New Roman" w:hAnsi="Times New Roman"/>
          <w:sz w:val="22"/>
          <w:szCs w:val="22"/>
          <w:color w:val="auto"/>
        </w:rPr>
        <w:t>”) (or, for Independent Directors of STEP, with the CLO or the CLO’s designee) even if the Restricted Person initiates them when the Window Period is open.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From time to time during the Window Period, STEP may close trading due to developments (such as a significant event or transaction) that involve material non-public information. In such cases, the Legal and Compliance Departments may notify particular individuals that they should not engage in any transactions involving the purchase or sale of STEP securities, and should not disclose to others the fact that trading has been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Generally, all pending purchase and sale orders regarding STEP securities that could be, but are not, executed while the Window Period is open must be cancelled before it closes.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In light of these restrictions, if you are a Restricted Person and expect a need to sell STEP stock at a specific time in the future, you may wish to consider entering into a prearranged Rule 10b5-1 trading plan, as discussed below, which is exempt from restrictions set forth in this </w:t>
      </w:r>
      <w:r>
        <w:rPr>
          <w:rFonts w:ascii="Times New Roman" w:cs="Times New Roman" w:eastAsia="Times New Roman" w:hAnsi="Times New Roman"/>
          <w:sz w:val="22"/>
          <w:szCs w:val="22"/>
          <w:u w:val="single" w:color="auto"/>
          <w:color w:val="auto"/>
        </w:rPr>
        <w:t>Section II.D.2</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2600" w:hanging="401"/>
        <w:spacing w:after="0"/>
        <w:tabs>
          <w:tab w:leader="none" w:pos="26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Short-Term Trading of STEP Securities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Any STEP securities purchased on the open market or otherwise acquired by Restricted Persons or such individuals’ family members or any such person’s Controlled Entities must be held for a minimum of six months. Note that the SEC’s short swing profit rules already penalize Section 16 Reporting Persons who sell any STEP securities within six months of a purchase by requiring such person to disgorge all profits to the Company whether or not such person had knowledge of any material non-public information about the Company or STEP securities. “</w:t>
      </w:r>
      <w:r>
        <w:rPr>
          <w:rFonts w:ascii="Times New Roman" w:cs="Times New Roman" w:eastAsia="Times New Roman" w:hAnsi="Times New Roman"/>
          <w:sz w:val="22"/>
          <w:szCs w:val="22"/>
          <w:b w:val="1"/>
          <w:bCs w:val="1"/>
          <w:color w:val="auto"/>
        </w:rPr>
        <w:t>Section 16 Reporting Persons</w:t>
      </w:r>
      <w:r>
        <w:rPr>
          <w:rFonts w:ascii="Times New Roman" w:cs="Times New Roman" w:eastAsia="Times New Roman" w:hAnsi="Times New Roman"/>
          <w:sz w:val="22"/>
          <w:szCs w:val="22"/>
          <w:color w:val="auto"/>
        </w:rPr>
        <w:t>” are Directors, director emeriti and executive officers of the Company, Class B Committee Members and any other person deemed to hold more than 10% of the Class A shares (registered class of equity securities), who are subject to the reporting and “short-swing profit” liability provisions of Section 16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For the avoidance of doubt, same day cashless exercises of stock options are not subject to this prohibition,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were no previous purchase transactions on the open market within six months of the exercise date.</w:t>
      </w:r>
    </w:p>
    <w:p>
      <w:pPr>
        <w:spacing w:after="0" w:line="153" w:lineRule="exact"/>
        <w:rPr>
          <w:sz w:val="20"/>
          <w:szCs w:val="20"/>
          <w:color w:val="auto"/>
        </w:rPr>
      </w:pPr>
    </w:p>
    <w:p>
      <w:pPr>
        <w:ind w:left="2600" w:hanging="401"/>
        <w:spacing w:after="0"/>
        <w:tabs>
          <w:tab w:leader="none" w:pos="2600" w:val="left"/>
        </w:tabs>
        <w:numPr>
          <w:ilvl w:val="0"/>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Pre-clearance</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As mentioned above, the Company requires all United States-based Supervised Persons and Restricted Persons (and their family members and Controlled Entities, except as explicitly provided above) to hold all STEP securities via the Morgan Stanley equity administration system. Supervised Persons and Restricted Persons based outside the United States may hold STEP securities with brokers approved by the CCO (“</w:t>
      </w:r>
      <w:r>
        <w:rPr>
          <w:rFonts w:ascii="Times New Roman" w:cs="Times New Roman" w:eastAsia="Times New Roman" w:hAnsi="Times New Roman"/>
          <w:sz w:val="22"/>
          <w:szCs w:val="22"/>
          <w:b w:val="1"/>
          <w:bCs w:val="1"/>
          <w:color w:val="auto"/>
        </w:rPr>
        <w:t>Alternative Brokers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All Independent Directors, Supervised Persons and Restricted Persons must obtain pre-clearance via the Compliance Platform (or, for Independent Directors, with the CLO or the CLO’s designee) in advance of effecting any purchase, sale or other trading of STEP securities, including elections to exchange Class B, Class C or Class D partnership units for Class A shares and exercises of stock options granted under STEP’s equity plan (including where no shares are to be sold). </w:t>
      </w:r>
      <w:r>
        <w:rPr>
          <w:rFonts w:ascii="Times New Roman" w:cs="Times New Roman" w:eastAsia="Times New Roman" w:hAnsi="Times New Roman"/>
          <w:sz w:val="22"/>
          <w:szCs w:val="22"/>
          <w:b w:val="1"/>
          <w:bCs w:val="1"/>
          <w:color w:val="auto"/>
        </w:rPr>
        <w:t>The pre-clearance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policy applies to these people even if they are initiating a transaction while the Window Period is open. </w:t>
      </w:r>
      <w:r>
        <w:rPr>
          <w:rFonts w:ascii="Times New Roman" w:cs="Times New Roman" w:eastAsia="Times New Roman" w:hAnsi="Times New Roman"/>
          <w:sz w:val="22"/>
          <w:szCs w:val="22"/>
          <w:color w:val="auto"/>
        </w:rPr>
        <w:t>The pre-clearance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also applies to any family member of an Independent Director, Supervised Person or Restricted Person, as well as Controlled Entities of an Independent Director, Supervised Person or Restricted Person.</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a transaction is approved under the pre-clearance policy, the transaction must be executed by the end of the second full trading day after the approval is obtained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elections to exchange Class B, Class C or Class D partnership units for Class A shares, which are generally permitted by the Company to be executed on a quarterly basis), but regardless may not be executed if you acquire material non-public information concerning the Company during that time. If a transaction is not completed within the period described above, the transaction must be approved again before it may be executed. Additionally, any Supervised Persons based in China or Switzerland must provide the COO a confirmation of the completion of any transaction in STEP securities from such person’s Alternative Broker no later than five business days after completion of the transaction, to the extent that such Alternative Broker does not have a direct trade feed to the Compliance Platform.</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a proposed transaction is not approved under the pre-clearance policy, you should refrain from initiating any transaction in STEP stock, and you should not inform anyone within or outside of the Company of the restriction. Any transaction under a Rule 10b5-1 trading plan (discussed below) will not require pre-clearance at the time of the transaction.</w:t>
      </w:r>
    </w:p>
    <w:p>
      <w:pPr>
        <w:spacing w:after="0" w:line="163" w:lineRule="exact"/>
        <w:rPr>
          <w:sz w:val="20"/>
          <w:szCs w:val="20"/>
          <w:color w:val="auto"/>
        </w:rPr>
      </w:pPr>
    </w:p>
    <w:p>
      <w:pPr>
        <w:ind w:left="1300" w:hanging="644"/>
        <w:spacing w:after="0"/>
        <w:tabs>
          <w:tab w:leader="none" w:pos="1300" w:val="left"/>
        </w:tabs>
        <w:numPr>
          <w:ilvl w:val="0"/>
          <w:numId w:val="16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Rule 10b5-1 Trading Plans</w:t>
      </w:r>
    </w:p>
    <w:p>
      <w:pPr>
        <w:spacing w:after="0" w:line="22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Restricted Persons and/or their family members and Controlled Entities are permitted to enter into a Rule 10b5-1 trading plan that meets certain conditions specified in Rule 10b5-1 under the Exchange Act. Rule 10b5-1(c) provides an affirmative defense from insider trading liability if trades occur pursuant to a pre-arranged trading plan that meets specified conditions.</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Under this Policy, the adoption, amendment or termination of a Rule 10b5-1 trading plan must meet the requirements set forth in “Appendix A: Guidelines for Rule 10b5-1 Trading Plans,” including the requirement that the plan be reviewed and approved in advance by the CLO or the CLO’s designee. If you wish to implement a Rule 10b5-1 trading plan, you must first pre-clear the plan with the CLO or the CLO’s designee at least five trading days prior to the entry into the plan. Because the SEC rules on Rule 10b5-1 trading plans are complex, you should consult with Morgan Stanley and be sure you fully understand the limitations and conditions of the rules before you establish a trading plan. Supervised Persons who are not Restricted Persons generally are not expected to enter into Rule 10b5-1 trading plans and should instead follow the procedures regarding pre-clearance in Section II.D.4 above for all transactions in STEP securities.</w:t>
      </w:r>
    </w:p>
    <w:p>
      <w:pPr>
        <w:spacing w:after="0" w:line="178" w:lineRule="exact"/>
        <w:rPr>
          <w:sz w:val="20"/>
          <w:szCs w:val="20"/>
          <w:color w:val="auto"/>
        </w:rPr>
      </w:pPr>
    </w:p>
    <w:p>
      <w:pPr>
        <w:ind w:left="1280" w:hanging="624"/>
        <w:spacing w:after="0"/>
        <w:tabs>
          <w:tab w:leader="none" w:pos="1280" w:val="left"/>
        </w:tabs>
        <w:numPr>
          <w:ilvl w:val="0"/>
          <w:numId w:val="16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Post-Termination</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Policy continues to apply to your transactions in STEP securities and securities of Covered Companies (as applicable) even after you have terminated employment or other services to the Company. If you are aware of material non-public information when your employment or service relationship terminates, you may not transact or trade in STEP securities or securities of Covered Companies (as applicable) until that information has become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94" w:lineRule="exact"/>
        <w:rPr>
          <w:sz w:val="20"/>
          <w:szCs w:val="20"/>
          <w:color w:val="auto"/>
        </w:rPr>
      </w:pPr>
    </w:p>
    <w:p>
      <w:pPr>
        <w:ind w:left="1300" w:hanging="644"/>
        <w:spacing w:after="0"/>
        <w:tabs>
          <w:tab w:leader="none" w:pos="1300" w:val="left"/>
        </w:tabs>
        <w:numPr>
          <w:ilvl w:val="0"/>
          <w:numId w:val="16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Company Transactions</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in STEP securities (note that transactions under equity-based compensation plans should occur in accordance with terms of plans and award agreements).</w:t>
      </w:r>
    </w:p>
    <w:p>
      <w:pPr>
        <w:spacing w:after="0" w:line="172" w:lineRule="exact"/>
        <w:rPr>
          <w:sz w:val="20"/>
          <w:szCs w:val="20"/>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Noncompliance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Anyone who fails to comply with this Policy will be subject to appropriate disciplinary action, up to and including termination of employment.</w:t>
      </w:r>
    </w:p>
    <w:p>
      <w:pPr>
        <w:spacing w:after="0" w:line="167" w:lineRule="exact"/>
        <w:rPr>
          <w:sz w:val="20"/>
          <w:szCs w:val="20"/>
          <w:color w:val="auto"/>
        </w:rPr>
      </w:pPr>
    </w:p>
    <w:p>
      <w:pPr>
        <w:ind w:left="660" w:hanging="652"/>
        <w:spacing w:after="0"/>
        <w:tabs>
          <w:tab w:leader="none" w:pos="66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the purposes of this Policy, the following definitions shall apply:</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means any personal investment or trading account of a Supervised Person in which a Supervised Person has any Beneficial Ownership, any investment or trading account for which a Supervised Person is a trustee or custodian and any investment or trading account over which a Supervised Person can exercise any direct or indirect control or influence trading or investment decisions.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 means the ability to manage or dispose of the security. Beneficial Ownership can exist either directly, in the case of securities that are held by you in a brokerage account, or indirectly, in the case of securities that are held by other entities, such as an investment fund or a trust if you serve as manager or trustee or are otherwise able to control, influence or manage transactions by the entity. A Supervised Person is presumed to have Beneficial Ownership of securities that are held by any of his or her family members or domestic partner who resides in the Supervised Person’s household or to whom the Supervised Person contributes material financial support.</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Director</w:t>
      </w:r>
      <w:r>
        <w:rPr>
          <w:rFonts w:ascii="Times New Roman" w:cs="Times New Roman" w:eastAsia="Times New Roman" w:hAnsi="Times New Roman"/>
          <w:sz w:val="22"/>
          <w:szCs w:val="22"/>
          <w:color w:val="auto"/>
        </w:rPr>
        <w:t>” means any director of the StepStone Group Inc., StepStone Group Real Estate Holdings LLC, StepStone Group Real Asset Holdings LLC, or Swiss Capital Alternative Investments AG who is not an employee, officer or partner of the Company or its affiliates.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List</w:t>
      </w:r>
      <w:r>
        <w:rPr>
          <w:rFonts w:ascii="Times New Roman" w:cs="Times New Roman" w:eastAsia="Times New Roman" w:hAnsi="Times New Roman"/>
          <w:sz w:val="22"/>
          <w:szCs w:val="22"/>
          <w:color w:val="auto"/>
        </w:rPr>
        <w:t>” is the list of publicly traded securities, captured on the Compliance Platform, at any point in time that, due to the possession or possible possession within the Company of information that may be material non-public information, or for any other reason of law or policy, the CCO, or SGEAIL CCO, as applicable, has determined that the Supervised Persons should not be personally purchasing or selling.</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Persons</w:t>
      </w:r>
      <w:r>
        <w:rPr>
          <w:rFonts w:ascii="Times New Roman" w:cs="Times New Roman" w:eastAsia="Times New Roman" w:hAnsi="Times New Roman"/>
          <w:sz w:val="22"/>
          <w:szCs w:val="22"/>
          <w:color w:val="auto"/>
        </w:rPr>
        <w:t>” include, without limitation, (a) Directors and officers of StepStone Group Inc., including, for the avoidance of doubt, the CLO and Chief Accounting Officer, (b) the CCO, the Global Head of Human Resources, the Head of Tax and the Head of Fund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and (c) certain other employees who are so designated (and notified) permanently or from time to time by the CLO or the CCO, as well as, in the case of each clause (a), (b) and (c), such person’s family members and their Controlled Entities. Employees may review their Restricted Person status in UKG.</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Supervised Person</w:t>
      </w:r>
      <w:r>
        <w:rPr>
          <w:rFonts w:ascii="Times New Roman" w:cs="Times New Roman" w:eastAsia="Times New Roman" w:hAnsi="Times New Roman"/>
          <w:sz w:val="22"/>
          <w:szCs w:val="22"/>
          <w:color w:val="auto"/>
        </w:rPr>
        <w:t>” includes members, officers and partners (natural persons) of the Company or its affiliates (or other persons occupying a similar status or performing similar functions); employees of the Company or its affiliates; and any other person who provides advice on behalf of the Company and is subject to the Company’s supervision and control. Any temporary employee of the Company shall not be considered a Supervised Person unless such person (i) has access to non-public information regarding any client’s purchase or sale of securities, or non-public information regarding the current or potential portfolio holdings of any fund or account that the Company or its controlled affiliates manages; or (ii) is involved in making securities recommendations to clients.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Last revised: May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Guidelines for Rule 10b5-1 Trading Plans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Rule 10b5-1 (“</w:t>
      </w:r>
      <w:r>
        <w:rPr>
          <w:rFonts w:ascii="Times New Roman" w:cs="Times New Roman" w:eastAsia="Times New Roman" w:hAnsi="Times New Roman"/>
          <w:sz w:val="22"/>
          <w:szCs w:val="22"/>
          <w:b w:val="1"/>
          <w:bCs w:val="1"/>
          <w:color w:val="auto"/>
        </w:rPr>
        <w:t>Rule 10b5-1</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provides an affirmative defense from insider trading liability under Rule 10b-5. In order to be eligible to rely on this defense, a person subject to the Insider Trading Policy (the “</w:t>
      </w:r>
      <w:r>
        <w:rPr>
          <w:rFonts w:ascii="Times New Roman" w:cs="Times New Roman" w:eastAsia="Times New Roman" w:hAnsi="Times New Roman"/>
          <w:sz w:val="22"/>
          <w:szCs w:val="22"/>
          <w:b w:val="1"/>
          <w:bCs w:val="1"/>
          <w:color w:val="auto"/>
        </w:rPr>
        <w:t>Insider Trading Policy</w:t>
      </w:r>
      <w:r>
        <w:rPr>
          <w:rFonts w:ascii="Times New Roman" w:cs="Times New Roman" w:eastAsia="Times New Roman" w:hAnsi="Times New Roman"/>
          <w:sz w:val="22"/>
          <w:szCs w:val="22"/>
          <w:color w:val="auto"/>
        </w:rPr>
        <w:t>”) of StepStone Group Inc. (“</w:t>
      </w:r>
      <w:r>
        <w:rPr>
          <w:rFonts w:ascii="Times New Roman" w:cs="Times New Roman" w:eastAsia="Times New Roman" w:hAnsi="Times New Roman"/>
          <w:sz w:val="22"/>
          <w:szCs w:val="22"/>
          <w:b w:val="1"/>
          <w:bCs w:val="1"/>
          <w:color w:val="auto"/>
        </w:rPr>
        <w:t>STEP</w:t>
      </w:r>
      <w:r>
        <w:rPr>
          <w:rFonts w:ascii="Times New Roman" w:cs="Times New Roman" w:eastAsia="Times New Roman" w:hAnsi="Times New Roman"/>
          <w:sz w:val="22"/>
          <w:szCs w:val="22"/>
          <w:color w:val="auto"/>
        </w:rPr>
        <w:t>” and, together with its subsidiaries,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must enter into a Rule 10b5-1 trading plan for transactions in STEP securities that meets certain conditions specified in the rule (a “</w:t>
      </w:r>
      <w:r>
        <w:rPr>
          <w:rFonts w:ascii="Times New Roman" w:cs="Times New Roman" w:eastAsia="Times New Roman" w:hAnsi="Times New Roman"/>
          <w:sz w:val="22"/>
          <w:szCs w:val="22"/>
          <w:b w:val="1"/>
          <w:bCs w:val="1"/>
          <w:color w:val="auto"/>
        </w:rPr>
        <w:t>Rule 10b5-1 Trading Plan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As such, the Company permits Restricted Persons as well as such persons’ family members (as defined in the Insider Trading Policy) and Controlled Entities to enter into Rule 10b5-1 Trading Plans and has adopted the following guidelines regarding the adoption, modification and termination of any such Rule 10b5-1 Trading Plans. </w:t>
      </w:r>
      <w:r>
        <w:rPr>
          <w:rFonts w:ascii="Times New Roman" w:cs="Times New Roman" w:eastAsia="Times New Roman" w:hAnsi="Times New Roman"/>
          <w:sz w:val="21"/>
          <w:szCs w:val="21"/>
          <w:b w:val="1"/>
          <w:bCs w:val="1"/>
          <w:i w:val="1"/>
          <w:iCs w:val="1"/>
          <w:color w:val="auto"/>
        </w:rPr>
        <w:t>All references in these guidelines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to you or Restricted Persons of the Company should be read to include all such persons and entities listed in the preceding sentence. </w:t>
      </w:r>
      <w:r>
        <w:rPr>
          <w:rFonts w:ascii="Times New Roman" w:cs="Times New Roman" w:eastAsia="Times New Roman" w:hAnsi="Times New Roman"/>
          <w:sz w:val="21"/>
          <w:szCs w:val="21"/>
          <w:color w:val="auto"/>
        </w:rPr>
        <w:t>Capitalized terms used in these guidelines without definition have the meaning set forth in the Insider Trading Policy.</w:t>
      </w:r>
    </w:p>
    <w:p>
      <w:pPr>
        <w:spacing w:after="0" w:line="16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These guidelines are in addition to, and not in lieu of, the requirements and conditions of Rule 10b5-1. The Chief Legal Officer (“</w:t>
      </w:r>
      <w:r>
        <w:rPr>
          <w:rFonts w:ascii="Times New Roman" w:cs="Times New Roman" w:eastAsia="Times New Roman" w:hAnsi="Times New Roman"/>
          <w:sz w:val="22"/>
          <w:szCs w:val="22"/>
          <w:b w:val="1"/>
          <w:bCs w:val="1"/>
          <w:color w:val="auto"/>
        </w:rPr>
        <w:t>CLO</w:t>
      </w:r>
      <w:r>
        <w:rPr>
          <w:rFonts w:ascii="Times New Roman" w:cs="Times New Roman" w:eastAsia="Times New Roman" w:hAnsi="Times New Roman"/>
          <w:sz w:val="22"/>
          <w:szCs w:val="22"/>
          <w:color w:val="auto"/>
        </w:rPr>
        <w:t xml:space="preserve">”) or the CLO’s designee will interpret and administer these guidelines for compliance with Insider Trading Policy and the requirements below. No personal legal or financial advice is being provided by the Company’s Legal Department regarding any Rule 10b5-1 Trading Plan or proposed trades. You remain ultimately responsible for ensuring that your Rule 10b5-1 Trading Plan and contemplated transactions fully comply with applicable securities laws. It is recommended that you consult with your own attorney, Morgan Stanley, or other advisors about any contemplated Rule 10b5-1 Trading Plan. </w:t>
      </w:r>
      <w:r>
        <w:rPr>
          <w:rFonts w:ascii="Times New Roman" w:cs="Times New Roman" w:eastAsia="Times New Roman" w:hAnsi="Times New Roman"/>
          <w:sz w:val="22"/>
          <w:szCs w:val="22"/>
          <w:b w:val="1"/>
          <w:bCs w:val="1"/>
          <w:i w:val="1"/>
          <w:iCs w:val="1"/>
          <w:color w:val="auto"/>
        </w:rPr>
        <w:t>Note that if 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are a Director or Section 16 officer (as defined below), STEP is required to disclose the material terms of your Rule 10b5-1 Trading Plan, other than respect to price, in STEP’s periodic report for the quarter in which the Rule 10b5-1 Trading Plan is adopted or terminated or modified (as described below)</w:t>
      </w:r>
      <w:r>
        <w:rPr>
          <w:rFonts w:ascii="Times New Roman" w:cs="Times New Roman" w:eastAsia="Times New Roman" w:hAnsi="Times New Roman"/>
          <w:sz w:val="22"/>
          <w:szCs w:val="22"/>
          <w:i w:val="1"/>
          <w:iCs w:val="1"/>
          <w:color w:val="auto"/>
        </w:rPr>
        <w:t>.</w:t>
      </w:r>
    </w:p>
    <w:p>
      <w:pPr>
        <w:spacing w:after="0" w:line="176" w:lineRule="exact"/>
        <w:rPr>
          <w:sz w:val="20"/>
          <w:szCs w:val="20"/>
          <w:color w:val="auto"/>
        </w:rPr>
      </w:pPr>
    </w:p>
    <w:p>
      <w:pPr>
        <w:jc w:val="both"/>
        <w:ind w:left="660" w:hanging="328"/>
        <w:spacing w:after="0" w:line="254" w:lineRule="auto"/>
        <w:tabs>
          <w:tab w:leader="none" w:pos="66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Pre-Clearance Requirement. </w:t>
      </w:r>
      <w:r>
        <w:rPr>
          <w:rFonts w:ascii="Times New Roman" w:cs="Times New Roman" w:eastAsia="Times New Roman" w:hAnsi="Times New Roman"/>
          <w:sz w:val="22"/>
          <w:szCs w:val="22"/>
          <w:color w:val="auto"/>
        </w:rPr>
        <w:t>The Rule 10b5-1 Trading Plan must be reviewed and approved, first by Morgan Stanley,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then by the CLO or the CLO’s designee prior to its adoption. If you wish to implement a Rule 10b5-1 Trading Plan, you must pre-clear the plan with the CLO or the CLO’s designee at least five trading days prior to the entry into the plan in accordance with the procedures set forth in the Insider Trading Policy; thus it is recommended that you reach out to Morgan Stanley in enough time to meet this deadline.</w:t>
      </w:r>
    </w:p>
    <w:p>
      <w:pPr>
        <w:spacing w:after="0" w:line="173" w:lineRule="exact"/>
        <w:rPr>
          <w:rFonts w:ascii="Times New Roman" w:cs="Times New Roman" w:eastAsia="Times New Roman" w:hAnsi="Times New Roman"/>
          <w:sz w:val="22"/>
          <w:szCs w:val="22"/>
          <w:b w:val="1"/>
          <w:bCs w:val="1"/>
          <w:color w:val="auto"/>
        </w:rPr>
      </w:pPr>
    </w:p>
    <w:p>
      <w:pPr>
        <w:ind w:left="660" w:right="20" w:hanging="328"/>
        <w:spacing w:after="0" w:line="275" w:lineRule="auto"/>
        <w:tabs>
          <w:tab w:leader="none" w:pos="66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Time of Adoption. </w:t>
      </w:r>
      <w:r>
        <w:rPr>
          <w:rFonts w:ascii="Times New Roman" w:cs="Times New Roman" w:eastAsia="Times New Roman" w:hAnsi="Times New Roman"/>
          <w:sz w:val="22"/>
          <w:szCs w:val="22"/>
          <w:color w:val="auto"/>
        </w:rPr>
        <w:t>Subject to pre-clearance requirements described above, the Rule 10b5-1 Trading Plan must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adopted at a time when:</w:t>
      </w:r>
    </w:p>
    <w:p>
      <w:pPr>
        <w:spacing w:after="0" w:line="45"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You are not aware of any material non-public information about the Company or STEP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18" w:right="339" w:bottom="1440" w:gutter="0" w:footer="0" w:header="0"/>
        </w:sectPr>
      </w:pPr>
    </w:p>
    <w:bookmarkStart w:id="260" w:name="page261"/>
    <w:bookmarkEnd w:id="260"/>
    <w:p>
      <w:pPr>
        <w:spacing w:after="0" w:line="90" w:lineRule="exact"/>
        <w:rPr>
          <w:sz w:val="20"/>
          <w:szCs w:val="20"/>
          <w:color w:val="auto"/>
        </w:rPr>
      </w:pPr>
    </w:p>
    <w:p>
      <w:pPr>
        <w:ind w:left="980" w:hanging="324"/>
        <w:spacing w:after="0"/>
        <w:tabs>
          <w:tab w:leader="none" w:pos="98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Window Period is open (and there is no special blackout in place), if applicable.</w:t>
      </w:r>
    </w:p>
    <w:p>
      <w:pPr>
        <w:spacing w:after="0" w:line="215"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66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Plan Instructions. </w:t>
      </w:r>
      <w:r>
        <w:rPr>
          <w:rFonts w:ascii="Times New Roman" w:cs="Times New Roman" w:eastAsia="Times New Roman" w:hAnsi="Times New Roman"/>
          <w:sz w:val="22"/>
          <w:szCs w:val="22"/>
          <w:color w:val="auto"/>
        </w:rPr>
        <w:t>Any Rule 10b5-1 Trading Plan you adopt must either (i) specify the amount, price and date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sales (or purchases) of STEP securities to be effected, (ii) provide a formula, algorithm or computer program for determining when to sell (or purchase) the STEP securities, the quantity to sell (or purchase) and the price; or (iii) delegate decision-making authority with regard to these transactions to a broker or other agent without any material non-public information about the Company or the STEP securities. For the avoidance of doubt, you may not subsequently influence how, when, or whether to effect purchases or sales with respect to the securities subject to an approved and adopted Rule 10b5-1 Trading Plan.</w:t>
      </w:r>
    </w:p>
    <w:p>
      <w:pPr>
        <w:spacing w:after="0" w:line="193"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The Rule 10b5-1 Trading Plan must be signed by you.</w:t>
      </w:r>
    </w:p>
    <w:p>
      <w:pPr>
        <w:spacing w:after="0" w:line="219" w:lineRule="exact"/>
        <w:rPr>
          <w:rFonts w:ascii="Times New Roman" w:cs="Times New Roman" w:eastAsia="Times New Roman" w:hAnsi="Times New Roman"/>
          <w:sz w:val="22"/>
          <w:szCs w:val="22"/>
          <w:b w:val="1"/>
          <w:bCs w:val="1"/>
          <w:color w:val="auto"/>
        </w:rPr>
      </w:pPr>
    </w:p>
    <w:p>
      <w:pPr>
        <w:jc w:val="both"/>
        <w:ind w:left="660" w:hanging="328"/>
        <w:spacing w:after="0" w:line="259" w:lineRule="auto"/>
        <w:tabs>
          <w:tab w:leader="none" w:pos="66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Hedging. </w:t>
      </w:r>
      <w:r>
        <w:rPr>
          <w:rFonts w:ascii="Times New Roman" w:cs="Times New Roman" w:eastAsia="Times New Roman" w:hAnsi="Times New Roman"/>
          <w:sz w:val="22"/>
          <w:szCs w:val="22"/>
          <w:color w:val="auto"/>
        </w:rPr>
        <w:t>You may not have entered into or altered a corresponding or hedging transaction or position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securities subject to the Rule 10b5-1 Trading Plan and must agree not to enter into any such transaction while the Rule 10b5-1 Trading Plan is in effect.</w:t>
      </w:r>
    </w:p>
    <w:p>
      <w:pPr>
        <w:spacing w:after="0" w:line="166" w:lineRule="exact"/>
        <w:rPr>
          <w:rFonts w:ascii="Times New Roman" w:cs="Times New Roman" w:eastAsia="Times New Roman" w:hAnsi="Times New Roman"/>
          <w:sz w:val="22"/>
          <w:szCs w:val="22"/>
          <w:b w:val="1"/>
          <w:bCs w:val="1"/>
          <w:color w:val="auto"/>
        </w:rPr>
      </w:pPr>
    </w:p>
    <w:p>
      <w:pPr>
        <w:jc w:val="both"/>
        <w:ind w:left="660" w:hanging="328"/>
        <w:spacing w:after="0" w:line="265" w:lineRule="auto"/>
        <w:tabs>
          <w:tab w:leader="none" w:pos="66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Good Faith Requirements. </w:t>
      </w:r>
      <w:r>
        <w:rPr>
          <w:rFonts w:ascii="Times New Roman" w:cs="Times New Roman" w:eastAsia="Times New Roman" w:hAnsi="Times New Roman"/>
          <w:sz w:val="22"/>
          <w:szCs w:val="22"/>
          <w:color w:val="auto"/>
        </w:rPr>
        <w:t>You must enter into the Rule 10b5-1 Trading Plan in good faith and not as part of a plan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scheme to evade the prohibitions of Rule 10b5-1 or Rule 10b-5. You must act in good faith with respect to the Rule 10b5-1 Trading Plan for the entirety of its duration.</w:t>
      </w:r>
    </w:p>
    <w:p>
      <w:pPr>
        <w:spacing w:after="0" w:line="161" w:lineRule="exact"/>
        <w:rPr>
          <w:rFonts w:ascii="Times New Roman" w:cs="Times New Roman" w:eastAsia="Times New Roman" w:hAnsi="Times New Roman"/>
          <w:sz w:val="22"/>
          <w:szCs w:val="22"/>
          <w:b w:val="1"/>
          <w:bCs w:val="1"/>
          <w:color w:val="auto"/>
        </w:rPr>
      </w:pPr>
    </w:p>
    <w:p>
      <w:pPr>
        <w:jc w:val="both"/>
        <w:ind w:left="660" w:hanging="328"/>
        <w:spacing w:after="0" w:line="252" w:lineRule="auto"/>
        <w:tabs>
          <w:tab w:leader="none" w:pos="66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Certifications for Directors and Officers. </w:t>
      </w:r>
      <w:r>
        <w:rPr>
          <w:rFonts w:ascii="Times New Roman" w:cs="Times New Roman" w:eastAsia="Times New Roman" w:hAnsi="Times New Roman"/>
          <w:sz w:val="22"/>
          <w:szCs w:val="22"/>
          <w:color w:val="auto"/>
        </w:rPr>
        <w:t>If you are a Director or officer, as defined in Rule 16a-1(f)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Act (“</w:t>
      </w:r>
      <w:r>
        <w:rPr>
          <w:rFonts w:ascii="Times New Roman" w:cs="Times New Roman" w:eastAsia="Times New Roman" w:hAnsi="Times New Roman"/>
          <w:sz w:val="22"/>
          <w:szCs w:val="22"/>
          <w:b w:val="1"/>
          <w:bCs w:val="1"/>
          <w:color w:val="auto"/>
        </w:rPr>
        <w:t>Section 16 officer</w:t>
      </w:r>
      <w:r>
        <w:rPr>
          <w:rFonts w:ascii="Times New Roman" w:cs="Times New Roman" w:eastAsia="Times New Roman" w:hAnsi="Times New Roman"/>
          <w:sz w:val="22"/>
          <w:szCs w:val="22"/>
          <w:color w:val="auto"/>
        </w:rPr>
        <w:t>”), the Rule 10b5-1 Trading Plan must include the following certifications required by Rule 10b5-1(c)(1)(ii)(C): at the time of adoption of the Rule 10b5-1 Trading Plan, (1) you are not aware of any material non-public information about the Company or STEP securities; and (2) you are adopting the Rule 10b5-1 Trading Plan in good faith and not as part of a plan or scheme to evade the prohibitions of Rules 10b5-1 and 10b-5 under the Exchange Act.</w:t>
      </w:r>
    </w:p>
    <w:p>
      <w:pPr>
        <w:spacing w:after="0" w:line="174" w:lineRule="exact"/>
        <w:rPr>
          <w:rFonts w:ascii="Times New Roman" w:cs="Times New Roman" w:eastAsia="Times New Roman" w:hAnsi="Times New Roman"/>
          <w:sz w:val="22"/>
          <w:szCs w:val="22"/>
          <w:b w:val="1"/>
          <w:bCs w:val="1"/>
          <w:color w:val="auto"/>
        </w:rPr>
      </w:pPr>
    </w:p>
    <w:p>
      <w:pPr>
        <w:ind w:left="660" w:hanging="328"/>
        <w:spacing w:after="0" w:line="275" w:lineRule="auto"/>
        <w:tabs>
          <w:tab w:leader="none" w:pos="66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Cooling Off Periods. </w:t>
      </w:r>
      <w:r>
        <w:rPr>
          <w:rFonts w:ascii="Times New Roman" w:cs="Times New Roman" w:eastAsia="Times New Roman" w:hAnsi="Times New Roman"/>
          <w:sz w:val="22"/>
          <w:szCs w:val="22"/>
          <w:color w:val="auto"/>
        </w:rPr>
        <w:t>The first trade under the Rule 10b5-1 Trading Plan may not occur until the expiration of a cooling-off period as follows:</w:t>
      </w:r>
    </w:p>
    <w:p>
      <w:pPr>
        <w:spacing w:after="0" w:line="153" w:lineRule="exact"/>
        <w:rPr>
          <w:rFonts w:ascii="Times New Roman" w:cs="Times New Roman" w:eastAsia="Times New Roman" w:hAnsi="Times New Roman"/>
          <w:sz w:val="22"/>
          <w:szCs w:val="22"/>
          <w:b w:val="1"/>
          <w:bCs w:val="1"/>
          <w:color w:val="auto"/>
        </w:rPr>
      </w:pPr>
    </w:p>
    <w:p>
      <w:pPr>
        <w:jc w:val="both"/>
        <w:ind w:left="980" w:hanging="324"/>
        <w:spacing w:after="0" w:line="256" w:lineRule="auto"/>
        <w:tabs>
          <w:tab w:leader="none" w:pos="975"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 Director or Section 16 officer, the later of (1) two business days following the filing of the Form 10-Q or Form 10-K for the completed fiscal quarter in which the Rule 10b5-1 Trading Plan was adopted and (2) 90 calendar days after adoption of the Rule 10b5-1 Trading Plan; provided, however, that the required cooling-off period shall in no event exceed 120 days.</w:t>
      </w:r>
    </w:p>
    <w:p>
      <w:pPr>
        <w:spacing w:after="0" w:line="17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not a Director or Section 16 officer, 30 days after adoption of the Rule 10b5-1 Trading Plan.</w:t>
      </w:r>
    </w:p>
    <w:p>
      <w:pPr>
        <w:spacing w:after="0" w:line="215" w:lineRule="exact"/>
        <w:rPr>
          <w:rFonts w:ascii="Times New Roman" w:cs="Times New Roman" w:eastAsia="Times New Roman" w:hAnsi="Times New Roman"/>
          <w:sz w:val="22"/>
          <w:szCs w:val="22"/>
          <w:color w:val="auto"/>
        </w:rPr>
      </w:pPr>
    </w:p>
    <w:p>
      <w:pPr>
        <w:ind w:left="660" w:right="20" w:hanging="328"/>
        <w:spacing w:after="0" w:line="275" w:lineRule="auto"/>
        <w:tabs>
          <w:tab w:leader="none" w:pos="66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Overlapping Rule 10b5-1 Trading Plans. </w:t>
      </w:r>
      <w:r>
        <w:rPr>
          <w:rFonts w:ascii="Times New Roman" w:cs="Times New Roman" w:eastAsia="Times New Roman" w:hAnsi="Times New Roman"/>
          <w:sz w:val="22"/>
          <w:szCs w:val="22"/>
          <w:color w:val="auto"/>
        </w:rPr>
        <w:t>No more than one Rule 10b5-1 Trading Plan can be effecting trades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(subject to certain exceptions).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98"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21"/>
          <w:szCs w:val="21"/>
          <w:color w:val="auto"/>
        </w:rPr>
        <w:t xml:space="preserve">foregoing, two separate Rule 10b5-1 Trading Plans can be in effect at the same time (but not trading at the same time) so long as your later-commencing plan meets all the conditions set forth in Rule 10b5-1. </w:t>
      </w:r>
      <w:r>
        <w:rPr>
          <w:rFonts w:ascii="Times New Roman" w:cs="Times New Roman" w:eastAsia="Times New Roman" w:hAnsi="Times New Roman"/>
          <w:sz w:val="21"/>
          <w:szCs w:val="21"/>
          <w:b w:val="1"/>
          <w:bCs w:val="1"/>
          <w:i w:val="1"/>
          <w:iCs w:val="1"/>
          <w:color w:val="auto"/>
        </w:rPr>
        <w:t>Depending on the circumstances,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terminating your earlier-commencing plan after entering into your later-commencing plan may cause plan(s) to no longer be eligible for the affirmative defense under Rule 10b5-1. </w:t>
      </w:r>
      <w:r>
        <w:rPr>
          <w:rFonts w:ascii="Times New Roman" w:cs="Times New Roman" w:eastAsia="Times New Roman" w:hAnsi="Times New Roman"/>
          <w:sz w:val="21"/>
          <w:szCs w:val="21"/>
          <w:color w:val="auto"/>
        </w:rPr>
        <w:t>For additional information about terminations, refer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Section 11. Please consult the CLO or the CLO’s designee with any questions regarding overlapping plans.</w:t>
      </w:r>
    </w:p>
    <w:p>
      <w:pPr>
        <w:spacing w:after="0" w:line="160" w:lineRule="exact"/>
        <w:rPr>
          <w:sz w:val="20"/>
          <w:szCs w:val="20"/>
          <w:color w:val="auto"/>
        </w:rPr>
      </w:pPr>
    </w:p>
    <w:p>
      <w:pPr>
        <w:jc w:val="both"/>
        <w:ind w:left="660" w:hanging="328"/>
        <w:spacing w:after="0" w:line="254" w:lineRule="auto"/>
        <w:tabs>
          <w:tab w:leader="none" w:pos="66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Single Transaction Plans. </w:t>
      </w:r>
      <w:r>
        <w:rPr>
          <w:rFonts w:ascii="Times New Roman" w:cs="Times New Roman" w:eastAsia="Times New Roman" w:hAnsi="Times New Roman"/>
          <w:sz w:val="22"/>
          <w:szCs w:val="22"/>
          <w:color w:val="auto"/>
        </w:rPr>
        <w:t>You may not enter into more than one Rule 10b5-1 Trading Plan designed to effect the open-market purchase or sale of the total amount of securities as a single transaction during any rolling 12-month period (subject to certain exceptions). A single-transaction plan is “designed to effect” the purchase or sale of securities as a single transaction when the terms of the plan would, for practical purposes, directly or indirectly require execution in a single transaction.</w:t>
      </w:r>
    </w:p>
    <w:p>
      <w:pPr>
        <w:spacing w:after="0" w:line="173" w:lineRule="exact"/>
        <w:rPr>
          <w:rFonts w:ascii="Times New Roman" w:cs="Times New Roman" w:eastAsia="Times New Roman" w:hAnsi="Times New Roman"/>
          <w:sz w:val="22"/>
          <w:szCs w:val="22"/>
          <w:b w:val="1"/>
          <w:bCs w:val="1"/>
          <w:color w:val="auto"/>
        </w:rPr>
      </w:pPr>
    </w:p>
    <w:p>
      <w:pPr>
        <w:ind w:left="640" w:hanging="308"/>
        <w:spacing w:after="0"/>
        <w:tabs>
          <w:tab w:leader="none" w:pos="64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Modifications and Terminations.</w:t>
      </w:r>
    </w:p>
    <w:p>
      <w:pPr>
        <w:spacing w:after="0" w:line="223" w:lineRule="exact"/>
        <w:rPr>
          <w:rFonts w:ascii="Times New Roman" w:cs="Times New Roman" w:eastAsia="Times New Roman" w:hAnsi="Times New Roman"/>
          <w:sz w:val="22"/>
          <w:szCs w:val="22"/>
          <w:b w:val="1"/>
          <w:bCs w:val="1"/>
          <w:color w:val="auto"/>
        </w:rPr>
      </w:pPr>
    </w:p>
    <w:p>
      <w:pPr>
        <w:jc w:val="both"/>
        <w:ind w:left="1300" w:hanging="320"/>
        <w:spacing w:after="0" w:line="249" w:lineRule="auto"/>
        <w:tabs>
          <w:tab w:leader="none" w:pos="1295"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Modifications/amendments and terminations of an existing Rule 10b5-1 Trading Plan are strongly discouraged due to legal risks, and can affect the validity of trades that have taken place under the plan prior to such modification/amendment or termination. Under Rule 10b5-1 and these guidelines, any modification/amendment to the amount, price, or timing of the purchase or sale of the securities underlying the Rule 10b5-1 Trading Plan will be deemed to be a termination of the current Rule 10b5-1 Trading Plan and creation of a new Rule 10b5-1 Trading Plan. If you are considering administerial changes to your Rule 10b5-1 Trading Plan, such as changing the account information, you should consult with the CLO or the CLO’s designee to in advance to confirm that any such change does not constitute an effective termination of your plan.</w:t>
      </w:r>
    </w:p>
    <w:p>
      <w:pPr>
        <w:spacing w:after="0" w:line="195" w:lineRule="exact"/>
        <w:rPr>
          <w:rFonts w:ascii="Times New Roman" w:cs="Times New Roman" w:eastAsia="Times New Roman" w:hAnsi="Times New Roman"/>
          <w:sz w:val="22"/>
          <w:szCs w:val="22"/>
          <w:color w:val="auto"/>
        </w:rPr>
      </w:pPr>
    </w:p>
    <w:p>
      <w:pPr>
        <w:jc w:val="both"/>
        <w:ind w:left="130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such, the modification/amendment of an existing Rule 10b5-1 Trading Plan must be reviewed and approved in advance by the CLO or the CLO’s designee in accordance with pre-clearance procedures set forth in the Insider Trading Policy and these guidelines, and will be subject to all the other requirements set forth in Sections 2 - 10 of these guidelines regarding the adoption of a new Rule 10b5-1 Trading Plan.</w:t>
      </w:r>
    </w:p>
    <w:p>
      <w:pPr>
        <w:spacing w:after="0" w:line="179" w:lineRule="exact"/>
        <w:rPr>
          <w:rFonts w:ascii="Times New Roman" w:cs="Times New Roman" w:eastAsia="Times New Roman" w:hAnsi="Times New Roman"/>
          <w:sz w:val="22"/>
          <w:szCs w:val="22"/>
          <w:color w:val="auto"/>
        </w:rPr>
      </w:pPr>
    </w:p>
    <w:p>
      <w:pPr>
        <w:jc w:val="both"/>
        <w:ind w:left="1300" w:hanging="320"/>
        <w:spacing w:after="0" w:line="272" w:lineRule="auto"/>
        <w:tabs>
          <w:tab w:leader="none" w:pos="1295"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(other than through an amendment or modification) of an existing Rule 10b5-1 Trading Plan must be reviewed and approved in advance by the CLO or the CLO’s designee in accordance with pre-clearance procedures set forth in the Insider Trading Policy and these guidelines. Except in limited circumstances, the CLO (or the CLO’s designee, as applicable) will not approve the termination of a Rule 10b5-1 Trading Plan unless:</w:t>
      </w:r>
    </w:p>
    <w:p>
      <w:pPr>
        <w:spacing w:after="0" w:line="52" w:lineRule="exact"/>
        <w:rPr>
          <w:rFonts w:ascii="Times New Roman" w:cs="Times New Roman" w:eastAsia="Times New Roman" w:hAnsi="Times New Roman"/>
          <w:sz w:val="21"/>
          <w:szCs w:val="21"/>
          <w:color w:val="auto"/>
        </w:rPr>
      </w:pPr>
    </w:p>
    <w:p>
      <w:pPr>
        <w:ind w:left="1960" w:hanging="170"/>
        <w:spacing w:after="0" w:line="271" w:lineRule="auto"/>
        <w:tabs>
          <w:tab w:leader="none" w:pos="1952"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terminate a Rule 10b5-1 Trading Plan at a time when you are not aware of material non-public information about the Company or STEP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90"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22"/>
          <w:szCs w:val="22"/>
          <w:color w:val="auto"/>
        </w:rPr>
        <w:t>ii. The Window Period is open (and there is no special blackout in place),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Rev. 2025-05-23</w:t>
      </w:r>
      <w:r>
        <w:rPr>
          <w:sz w:val="20"/>
          <w:szCs w:val="20"/>
          <w:color w:val="auto"/>
        </w:rPr>
        <w:tab/>
      </w:r>
      <w:r>
        <w:rPr>
          <w:rFonts w:ascii="Times New Roman" w:cs="Times New Roman" w:eastAsia="Times New Roman" w:hAnsi="Times New Roman"/>
          <w:sz w:val="22"/>
          <w:szCs w:val="22"/>
          <w:color w:val="auto"/>
        </w:rPr>
        <w:t>16</w:t>
      </w:r>
    </w:p>
    <w:p>
      <w:pPr>
        <w:sectPr>
          <w:pgSz w:w="11900" w:h="16838" w:orient="portrait"/>
          <w:cols w:equalWidth="0" w:num="1">
            <w:col w:w="10139"/>
          </w:cols>
          <w:pgMar w:left="320" w:top="1440" w:right="1440"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20" w:type="dxa"/>
            <w:vAlign w:val="bottom"/>
            <w:gridSpan w:val="3"/>
          </w:tcPr>
          <w:p>
            <w:pPr>
              <w:ind w:left="2860"/>
              <w:spacing w:after="0"/>
              <w:rPr>
                <w:sz w:val="20"/>
                <w:szCs w:val="20"/>
                <w:color w:val="auto"/>
              </w:rPr>
            </w:pPr>
            <w:r>
              <w:rPr>
                <w:rFonts w:ascii="Times New Roman" w:cs="Times New Roman" w:eastAsia="Times New Roman" w:hAnsi="Times New Roman"/>
                <w:sz w:val="18"/>
                <w:szCs w:val="18"/>
                <w:b w:val="1"/>
                <w:bCs w:val="1"/>
                <w:color w:val="auto"/>
              </w:rPr>
              <w:t>SUBSIDIARIES OF STEPSTONE GROUP INC. (as of March 31, 2025)</w:t>
            </w:r>
          </w:p>
        </w:tc>
      </w:tr>
      <w:tr>
        <w:trPr>
          <w:trHeight w:val="665"/>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418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Jurisdiction/State of Incorporation</w:t>
            </w:r>
          </w:p>
        </w:tc>
      </w:tr>
      <w:tr>
        <w:trPr>
          <w:trHeight w:val="23"/>
        </w:trPr>
        <w:tc>
          <w:tcPr>
            <w:tcW w:w="6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1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SRA Capital (Canada) LTD.</w:t>
            </w:r>
          </w:p>
        </w:tc>
        <w:tc>
          <w:tcPr>
            <w:tcW w:w="10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Private Wealth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Europe Limited</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GC Manager, L.P.</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Consultoria Financeira Ltda.</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(CHINA) Limited</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(HK) Limited</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Capital Company</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Chile SpA</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Chile</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Europe LLP</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Holdings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LP</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Luxembourg S.À R.L</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Mexico Holdings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Mexico Holdings, SdeRL</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Private Debt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Assets Holdings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Assets LP</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Estate Holdings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Estate LP</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Singapore Pte. Ltd.</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Mexico, S.C.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Mexico I SLP, L.P.</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Partners, L.P.</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Private Debt AG</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Swiss Capital Alternative Investments G.P. LTD.</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Europe Alternative Investments Limited</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Verwaltungs Gmbh</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Diversified Funds GP,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E (GP)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E Offshore (GP)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East Town (GP),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European Fund GP, S.À.R.L.</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FERRO (GP),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FSS (GP),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 (GP),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 (GP) II,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GC GP,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H (GP),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HF (GP),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HF Real Estate (GP),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JP (GP) II, LLC</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243" w:right="339" w:bottom="1440" w:gutter="0" w:footer="0" w:header="0"/>
        </w:sectPr>
      </w:pPr>
    </w:p>
    <w:bookmarkStart w:id="264" w:name="page265"/>
    <w:bookmarkEnd w:id="264"/>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JP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Infrastructure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Infrastructure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KF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LMM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Maple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Mexico 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NLGI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PE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PE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SIERA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SIRA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OH Secondaries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Opportunities Fund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 Real Assets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 Real Assets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PIFSS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PPA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PPL Secondaries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PRIVATE ACCESS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StepStone Real Estate Partners IV (GP) S.À.R.L.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III (GP) (Cayman),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IV (GP Cayman),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RIVAS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Scorpio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III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IV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SEDCO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Sunstone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II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19"/>
          </w:cols>
          <w:pgMar w:left="340" w:top="1440" w:right="1440" w:bottom="1440" w:gutter="0" w:footer="0" w:header="0"/>
          <w:type w:val="continuous"/>
        </w:sectPr>
      </w:pPr>
    </w:p>
    <w:bookmarkStart w:id="265" w:name="page266"/>
    <w:bookmarkEnd w:id="265"/>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III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TRI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UWF Secondaries (GP),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UWF Secondaries Holdings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XL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G.P. (Luxembourg)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Swiss Capital Private Debt G.P. II (Luxembourg) S.À.R.L.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G.P. II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Debt G.P. III (Luxembourg)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Manager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SCL Fund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Fund I Domestic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Fund I International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Fund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Debt Manager G.P. II (Cayman)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ME Infrastructure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ME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Peninsula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AEGON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AMP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Atlantic (GP),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Atlantic Holdings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Atlas III (Offshore)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AZ China and Asia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AZ Secondaries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II-G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II-R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BVK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BVK RE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IV (GP)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V (GP),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CGC Opportunities (GP),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Co-Investment Funds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119"/>
          </w:cols>
          <w:pgMar w:left="340" w:top="1440" w:right="1440" w:bottom="1440" w:gutter="0" w:footer="0" w:header="0"/>
          <w:type w:val="continuous"/>
        </w:sectPr>
      </w:pPr>
    </w:p>
    <w:bookmarkStart w:id="266" w:name="page267"/>
    <w:bookmarkEnd w:id="266"/>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PH Infra Equity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PTS Infrastructure Secondary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HCSCMPTEPP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PH Infra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HB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OAM Private Debt GP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Credit (US)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Edamame Administrative Member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(Luxembourg)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Atlas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Badger Secondary Opportunities Holdings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Sanabil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V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V Overage (GP) S.À R.L.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TC (GP),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TI1 Tactical (GP),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Thunderbird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Greenspring Associates,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Greenspring Associates,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Greenspring Associates Newco,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Blackbird GA 2020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Blackbird GSC,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Asia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Crossover 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Diversity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Early Stage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Early Stage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Early Stage I-H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Early Stage I-LH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FF-GP II,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FF-GP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FF-GP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FF-GP,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GE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General Partner GW,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Global Partners IX-M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Global Partners IX-V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(Healthcare),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IX,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VI,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VII,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VIII SARL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119"/>
          </w:cols>
          <w:pgMar w:left="340" w:top="1440" w:right="1440" w:bottom="1440" w:gutter="0" w:footer="0" w:header="0"/>
          <w:type w:val="continuous"/>
        </w:sectPr>
      </w:pPr>
    </w:p>
    <w:bookmarkStart w:id="267" w:name="page268"/>
    <w:bookmarkEnd w:id="267"/>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VIII,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X,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Growth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IL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Impact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Impact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VI,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VII,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SK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(AV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IX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X-I,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F-II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GE VII-L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X-V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G1 SRE SMA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SICP 2022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Ironwood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Nolan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Pebbles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N-22,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SSG Private Debt GP IV (Luxembourg) S.à r.l.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Accelerate Diversity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Climate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Climate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Ferwa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HF Private Debt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HF Venture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119"/>
          </w:cols>
          <w:pgMar w:left="340" w:top="1440" w:right="1440" w:bottom="1440" w:gutter="0" w:footer="0" w:header="0"/>
          <w:type w:val="continuous"/>
        </w:sectPr>
      </w:pPr>
    </w:p>
    <w:bookmarkStart w:id="268" w:name="page269"/>
    <w:bookmarkEnd w:id="268"/>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Horizons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iCapital GP VC,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Infrastructure Co-Investment Partners 2022 Europe (GP)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Real Estate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Libra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NZ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Ontario Natural Resources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Oxford 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PF Opportunities (L)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PIFSS Real Estate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Real Estate Partners V (GP)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V (GP Cayman),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Rosa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Fund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IV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TI1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TM IO,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2022-CCT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Asia I-GB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BC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Blockchain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D-1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Diversity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Early Stage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IX-R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Mesa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NZ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Wabash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XI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VVF II Continuation Fund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SIDF Active 1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SIDF Active 2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SIRA N-23,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Alpha Bidco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Alpha Holdings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Alpha Holdings II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Juniversitas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Noble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Solaris InvestCo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Credit Platform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SSIF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SSIF Europe (GP) S.à r.I.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Boulder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119"/>
          </w:cols>
          <w:pgMar w:left="340" w:top="1440" w:right="1440" w:bottom="1440" w:gutter="0" w:footer="0" w:header="0"/>
          <w:type w:val="continuous"/>
        </w:sectPr>
      </w:pPr>
    </w:p>
    <w:bookmarkStart w:id="269" w:name="page270"/>
    <w:bookmarkEnd w:id="269"/>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Growth Equity II-A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Holyrood Infrastructure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Holyrood Private Equity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IP Infrastructure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Minderoo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Real Estate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Pegasus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PV Investment Program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 European Investments (V)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V Overage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Sun (MM),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2023 – Beta HF Holding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CAPI Fund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Master SPV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V SLP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Micro-K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VI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VI (Lux) General Partner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StepStone VC Secondaries VI (Lux) General Partner S.à r.l.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Tilad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Zilker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VG Co-Investment EU PD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Campari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Discovery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Discovery Offshore Aggregator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Harpoon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Pebbles V-A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PODIUM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Rise Cayman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Rise Delaware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Rise Luxembourg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Sequel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IV Ignite II Investco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IV Ignite Investco CIV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Beckett CIV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Jersey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Juniversitas Blocker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Juniversitas Splitter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Shelter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WWC JV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Beckett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Salud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Salud CIV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Da Vinci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119"/>
          </w:cols>
          <w:pgMar w:left="340" w:top="1440" w:right="1440" w:bottom="1440" w:gutter="0" w:footer="0" w:header="0"/>
          <w:type w:val="continuous"/>
        </w:sectPr>
      </w:pPr>
    </w:p>
    <w:bookmarkStart w:id="270" w:name="page271"/>
    <w:bookmarkEnd w:id="270"/>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SSIF Overage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 Co-Investment Partnership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 Real Estate Co-Investment Partnership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Acorn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AMITIM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VI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Flintholm Infra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Holyrood Neptune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IP Infra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Infra Strat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Infrastructure Opportunities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L Global Infra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Micro Growth Equity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NJ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NJ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Sprout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SRA Co-Investment Partnership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TC Infra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 (GP),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2025-RDS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Ascend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Blockchain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Bravo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KENT RIDGE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XII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119"/>
          </w:cols>
          <w:pgMar w:left="340" w:top="1440" w:right="1440" w:bottom="1440" w:gutter="0" w:footer="0" w:header="0"/>
          <w:type w:val="continuous"/>
        </w:sectPr>
      </w:pPr>
    </w:p>
    <w:bookmarkStart w:id="271" w:name="page272"/>
    <w:bookmarkEnd w:id="271"/>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16" w:lineRule="exact"/>
        <w:rPr>
          <w:sz w:val="20"/>
          <w:szCs w:val="20"/>
          <w:color w:val="auto"/>
        </w:rPr>
      </w:pPr>
    </w:p>
    <w:p>
      <w:pPr>
        <w:ind w:left="940" w:hanging="284"/>
        <w:spacing w:after="0"/>
        <w:tabs>
          <w:tab w:leader="none" w:pos="9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333-261076) of StepStone Group Inc.;</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333-248893) pertaining to the 2020 Long-Term Incentive Plan of StepStone Group Inc.;</w:t>
      </w:r>
    </w:p>
    <w:p>
      <w:pPr>
        <w:spacing w:after="0" w:line="215" w:lineRule="exact"/>
        <w:rPr>
          <w:rFonts w:ascii="Times New Roman" w:cs="Times New Roman" w:eastAsia="Times New Roman" w:hAnsi="Times New Roman"/>
          <w:sz w:val="20"/>
          <w:szCs w:val="20"/>
          <w:color w:val="auto"/>
        </w:rPr>
      </w:pPr>
    </w:p>
    <w:p>
      <w:pPr>
        <w:ind w:left="660" w:right="160" w:hanging="4"/>
        <w:spacing w:after="0" w:line="283" w:lineRule="auto"/>
        <w:tabs>
          <w:tab w:leader="none" w:pos="9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333-274556) pertaining to the 2020 Long-Term Incentive Plan and 2023 Employee Stock Purchase Plan of StepStone Group Inc.; and</w:t>
      </w:r>
    </w:p>
    <w:p>
      <w:pPr>
        <w:spacing w:after="0" w:line="15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S-3ASR No. 333-284751) of StepStone Group Inc.</w:t>
      </w:r>
    </w:p>
    <w:p>
      <w:pPr>
        <w:spacing w:after="0" w:line="21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of our reports dated May 23, 2025, with respect to the consolidated financial statements of StepStone Group Inc. and the effectiveness of internal control over financial reporting of StepStone Group Inc. included in this Annual Report (Form 10-K) for the year ended March 31, 2025.</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23, 2025</w:t>
      </w:r>
    </w:p>
    <w:p>
      <w:pPr>
        <w:sectPr>
          <w:pgSz w:w="11900" w:h="16838" w:orient="portrait"/>
          <w:cols w:equalWidth="0" w:num="1">
            <w:col w:w="11240"/>
          </w:cols>
          <w:pgMar w:left="320" w:top="114"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CERTIFICATION BY THE CHIEF EXECUTIVE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Hart, certify that:</w:t>
      </w:r>
    </w:p>
    <w:p>
      <w:pPr>
        <w:spacing w:after="0" w:line="225" w:lineRule="exact"/>
        <w:rPr>
          <w:sz w:val="20"/>
          <w:szCs w:val="20"/>
          <w:color w:val="auto"/>
        </w:rPr>
      </w:pPr>
    </w:p>
    <w:p>
      <w:pPr>
        <w:ind w:left="840" w:hanging="184"/>
        <w:spacing w:after="0"/>
        <w:tabs>
          <w:tab w:leader="none" w:pos="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StepStone Group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4"/>
        <w:spacing w:after="0" w:line="276" w:lineRule="auto"/>
        <w:tabs>
          <w:tab w:leader="none" w:pos="84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300" w:right="120" w:firstLine="4"/>
        <w:spacing w:after="0" w:line="266" w:lineRule="auto"/>
        <w:tabs>
          <w:tab w:leader="none" w:pos="147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7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firstLine="4"/>
        <w:spacing w:after="0" w:line="266" w:lineRule="auto"/>
        <w:tabs>
          <w:tab w:leader="none" w:pos="14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312" w:lineRule="auto"/>
        <w:tabs>
          <w:tab w:leader="none" w:pos="84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300" w:right="280" w:firstLine="4"/>
        <w:spacing w:after="0" w:line="282" w:lineRule="auto"/>
        <w:tabs>
          <w:tab w:leader="none" w:pos="147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60" w:firstLine="4"/>
        <w:spacing w:after="0" w:line="282" w:lineRule="auto"/>
        <w:tabs>
          <w:tab w:leader="none" w:pos="14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23, 2025</w:t>
            </w:r>
          </w:p>
        </w:tc>
        <w:tc>
          <w:tcPr>
            <w:tcW w:w="79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Scott W. Hart</w:t>
            </w:r>
          </w:p>
        </w:tc>
      </w:tr>
      <w:tr>
        <w:trPr>
          <w:trHeight w:val="218"/>
        </w:trPr>
        <w:tc>
          <w:tcPr>
            <w:tcW w:w="3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Scott W. Hart</w:t>
            </w:r>
          </w:p>
        </w:tc>
      </w:tr>
      <w:tr>
        <w:trPr>
          <w:trHeight w:val="228"/>
        </w:trPr>
        <w:tc>
          <w:tcPr>
            <w:tcW w:w="3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 w:right="339" w:bottom="1440" w:gutter="0" w:footer="0" w:header="0"/>
        </w:sectPr>
      </w:pPr>
    </w:p>
    <w:bookmarkStart w:id="273" w:name="page274"/>
    <w:bookmarkEnd w:id="273"/>
    <w:p>
      <w:pPr>
        <w:ind w:left="10000"/>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CERTIFICATION BY THE CHIEF FINANCIAL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Y. Park, certify that:</w:t>
      </w:r>
    </w:p>
    <w:p>
      <w:pPr>
        <w:spacing w:after="0" w:line="225" w:lineRule="exact"/>
        <w:rPr>
          <w:sz w:val="20"/>
          <w:szCs w:val="20"/>
          <w:color w:val="auto"/>
        </w:rPr>
      </w:pPr>
    </w:p>
    <w:p>
      <w:pPr>
        <w:ind w:left="840" w:hanging="184"/>
        <w:spacing w:after="0"/>
        <w:tabs>
          <w:tab w:leader="none" w:pos="8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StepStone Group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4"/>
        <w:spacing w:after="0" w:line="276" w:lineRule="auto"/>
        <w:tabs>
          <w:tab w:leader="none" w:pos="84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300" w:right="120" w:firstLine="4"/>
        <w:spacing w:after="0" w:line="266" w:lineRule="auto"/>
        <w:tabs>
          <w:tab w:leader="none" w:pos="147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7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firstLine="4"/>
        <w:spacing w:after="0" w:line="266" w:lineRule="auto"/>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312" w:lineRule="auto"/>
        <w:tabs>
          <w:tab w:leader="none" w:pos="84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300" w:right="280" w:firstLine="4"/>
        <w:spacing w:after="0" w:line="282" w:lineRule="auto"/>
        <w:tabs>
          <w:tab w:leader="none" w:pos="147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60" w:firstLine="4"/>
        <w:spacing w:after="0" w:line="282" w:lineRule="auto"/>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23, 2025</w:t>
            </w:r>
          </w:p>
        </w:tc>
        <w:tc>
          <w:tcPr>
            <w:tcW w:w="79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David Y. Park</w:t>
            </w:r>
          </w:p>
        </w:tc>
      </w:tr>
      <w:tr>
        <w:trPr>
          <w:trHeight w:val="218"/>
        </w:trPr>
        <w:tc>
          <w:tcPr>
            <w:tcW w:w="3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Y. Park</w:t>
            </w:r>
          </w:p>
        </w:tc>
      </w:tr>
      <w:tr>
        <w:trPr>
          <w:trHeight w:val="228"/>
        </w:trPr>
        <w:tc>
          <w:tcPr>
            <w:tcW w:w="3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14"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StepStone Group Inc. (the “Company”) on Form 10-K for the year ended March 31, 2025,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May 23, 2025</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Scott W. Hart</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4"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StepStone Group Inc. (the “Company”) on Form 10-K for the year ended March 31, 2025, as filed with the Securities and Exchange Commission (the “SEC”) on or about the date hereof (the “Report”), I, David Y. Park, Chief Financial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May 23, 2025</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1)"/>
      <w:numFmt w:val="lowerRoman"/>
      <w:start w:val="9"/>
    </w:lvl>
  </w:abstractNum>
  <w:abstractNum w:abstractNumId="5">
    <w:nsid w:val="74DE0EE3"/>
    <w:multiLevelType w:val="hybridMultilevel"/>
    <w:lvl w:ilvl="0">
      <w:lvlJc w:val="left"/>
      <w:lvlText w:val="(%1)"/>
      <w:numFmt w:val="lowerRoman"/>
      <w:start w:val="33"/>
    </w:lvl>
  </w:abstractNum>
  <w:abstractNum w:abstractNumId="6">
    <w:nsid w:val="68EBC550"/>
    <w:multiLevelType w:val="hybridMultilevel"/>
    <w:lvl w:ilvl="0">
      <w:lvlJc w:val="left"/>
      <w:lvlText w:val="(%1)"/>
      <w:numFmt w:val="lowerRoman"/>
      <w:start w:val="35"/>
    </w:lvl>
  </w:abstractNum>
  <w:abstractNum w:abstractNumId="7">
    <w:nsid w:val="2DF6D648"/>
    <w:multiLevelType w:val="hybridMultilevel"/>
    <w:lvl w:ilvl="0">
      <w:lvlJc w:val="left"/>
      <w:lvlText w:val="(%1)"/>
      <w:numFmt w:val="lowerRoman"/>
      <w:start w:val="8"/>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1)"/>
      <w:numFmt w:val="decimal"/>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1)"/>
      <w:numFmt w:val="decimal"/>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1)"/>
      <w:numFmt w:val="lowerRoman"/>
      <w:start w:val="1"/>
    </w:lvl>
  </w:abstractNum>
  <w:abstractNum w:abstractNumId="38">
    <w:nsid w:val="1FBFE8E0"/>
    <w:multiLevelType w:val="hybridMultilevel"/>
    <w:lvl w:ilvl="0">
      <w:lvlJc w:val="left"/>
      <w:lvlText w:val="(%1)"/>
      <w:numFmt w:val="lowerRoman"/>
      <w:start w:val="1"/>
    </w:lvl>
  </w:abstractNum>
  <w:abstractNum w:abstractNumId="39">
    <w:nsid w:val="5092CA79"/>
    <w:multiLevelType w:val="hybridMultilevel"/>
    <w:lvl w:ilvl="0">
      <w:lvlJc w:val="left"/>
      <w:lvlText w:val="(%1)"/>
      <w:numFmt w:val="decimal"/>
      <w:start w:val="1"/>
    </w:lvl>
    <w:lvl w:ilvl="1">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1)"/>
      <w:numFmt w:val="decimal"/>
      <w:start w:val="1"/>
    </w:lvl>
  </w:abstractNum>
  <w:abstractNum w:abstractNumId="42">
    <w:nsid w:val="288F1A34"/>
    <w:multiLevelType w:val="hybridMultilevel"/>
    <w:lvl w:ilvl="0">
      <w:lvlJc w:val="left"/>
      <w:lvlText w:val="(%1)"/>
      <w:numFmt w:val="decimal"/>
      <w:start w:val="1"/>
    </w:lvl>
  </w:abstractNum>
  <w:abstractNum w:abstractNumId="43">
    <w:nsid w:val="2A155DBC"/>
    <w:multiLevelType w:val="hybridMultilevel"/>
    <w:lvl w:ilvl="0">
      <w:lvlJc w:val="left"/>
      <w:lvlText w:val="(%1)"/>
      <w:numFmt w:val="decimal"/>
      <w:start w:val="1"/>
    </w:lvl>
  </w:abstractNum>
  <w:abstractNum w:abstractNumId="44">
    <w:nsid w:val="1D9F6E5F"/>
    <w:multiLevelType w:val="hybridMultilevel"/>
    <w:lvl w:ilvl="0">
      <w:lvlJc w:val="left"/>
      <w:lvlText w:val="(%1)"/>
      <w:numFmt w:val="decimal"/>
      <w:start w:val="1"/>
    </w:lvl>
  </w:abstractNum>
  <w:abstractNum w:abstractNumId="45">
    <w:nsid w:val="97E1B4E"/>
    <w:multiLevelType w:val="hybridMultilevel"/>
    <w:lvl w:ilvl="0">
      <w:lvlJc w:val="left"/>
      <w:lvlText w:val="(%1)"/>
      <w:numFmt w:val="decimal"/>
      <w:start w:val="1"/>
    </w:lvl>
  </w:abstractNum>
  <w:abstractNum w:abstractNumId="46">
    <w:nsid w:val="51088277"/>
    <w:multiLevelType w:val="hybridMultilevel"/>
    <w:lvl w:ilvl="0">
      <w:lvlJc w:val="left"/>
      <w:lvlText w:val="(%1)"/>
      <w:numFmt w:val="decimal"/>
      <w:start w:val="1"/>
    </w:lvl>
  </w:abstractNum>
  <w:abstractNum w:abstractNumId="47">
    <w:nsid w:val="1CA0C5FA"/>
    <w:multiLevelType w:val="hybridMultilevel"/>
    <w:lvl w:ilvl="0">
      <w:lvlJc w:val="left"/>
      <w:lvlText w:val="(%1)"/>
      <w:numFmt w:val="decimal"/>
      <w:start w:val="1"/>
    </w:lvl>
  </w:abstractNum>
  <w:abstractNum w:abstractNumId="48">
    <w:nsid w:val="53584BCB"/>
    <w:multiLevelType w:val="hybridMultilevel"/>
    <w:lvl w:ilvl="0">
      <w:lvlJc w:val="left"/>
      <w:lvlText w:val="(%1)"/>
      <w:numFmt w:val="decimal"/>
      <w:start w:val="3"/>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1)"/>
      <w:numFmt w:val="decimal"/>
      <w:start w:val="1"/>
    </w:lvl>
    <w:lvl w:ilvl="1">
      <w:lvlJc w:val="left"/>
      <w:lvlText w:val="(%2)"/>
      <w:numFmt w:val="lowerRoman"/>
      <w:start w:val="1"/>
    </w:lvl>
  </w:abstractNum>
  <w:abstractNum w:abstractNumId="52">
    <w:nsid w:val="45E6D486"/>
    <w:multiLevelType w:val="hybridMultilevel"/>
    <w:lvl w:ilvl="0">
      <w:lvlJc w:val="left"/>
      <w:lvlText w:val="%1."/>
      <w:numFmt w:val="lowerRoman"/>
      <w:start w:val="1"/>
    </w:lvl>
  </w:abstractNum>
  <w:abstractNum w:abstractNumId="53">
    <w:nsid w:val="5C10FE21"/>
    <w:multiLevelType w:val="hybridMultilevel"/>
    <w:lvl w:ilvl="0">
      <w:lvlJc w:val="left"/>
      <w:lvlText w:val="%1"/>
      <w:numFmt w:val="decimal"/>
      <w:start w:val="1"/>
    </w:lvl>
    <w:lvl w:ilvl="1">
      <w:lvlJc w:val="left"/>
      <w:lvlText w:val="%2."/>
      <w:numFmt w:val="lowerRoman"/>
      <w:start w:val="5"/>
    </w:lvl>
  </w:abstractNum>
  <w:abstractNum w:abstractNumId="54">
    <w:nsid w:val="E7FFA2B"/>
    <w:multiLevelType w:val="hybridMultilevel"/>
    <w:lvl w:ilvl="0">
      <w:lvlJc w:val="left"/>
      <w:lvlText w:val="(%1)"/>
      <w:numFmt w:val="decimal"/>
      <w:start w:val="5"/>
    </w:lvl>
    <w:lvl w:ilvl="1">
      <w:lvlJc w:val="left"/>
      <w:lvlText w:val="%2"/>
      <w:numFmt w:val="lowerRoman"/>
      <w:start w:val="1"/>
    </w:lvl>
  </w:abstractNum>
  <w:abstractNum w:abstractNumId="55">
    <w:nsid w:val="3C5991AA"/>
    <w:multiLevelType w:val="hybridMultilevel"/>
    <w:lvl w:ilvl="0">
      <w:lvlJc w:val="left"/>
      <w:lvlText w:val="(%1)"/>
      <w:numFmt w:val="decimal"/>
      <w:start w:val="1"/>
    </w:lvl>
    <w:lvl w:ilvl="1">
      <w:lvlJc w:val="left"/>
      <w:lvlText w:val="%2."/>
      <w:numFmt w:val="lowerRoman"/>
      <w:start w:val="1"/>
    </w:lvl>
  </w:abstractNum>
  <w:abstractNum w:abstractNumId="56">
    <w:nsid w:val="4BD8591A"/>
    <w:multiLevelType w:val="hybridMultilevel"/>
    <w:lvl w:ilvl="0">
      <w:lvlJc w:val="left"/>
      <w:lvlText w:val="%1."/>
      <w:numFmt w:val="lowerRoman"/>
      <w:start w:val="3"/>
    </w:lvl>
  </w:abstractNum>
  <w:abstractNum w:abstractNumId="57">
    <w:nsid w:val="78DF6A55"/>
    <w:multiLevelType w:val="hybridMultilevel"/>
    <w:lvl w:ilvl="0">
      <w:lvlJc w:val="left"/>
      <w:lvlText w:val="(%1)"/>
      <w:numFmt w:val="decimal"/>
      <w:start w:val="4"/>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1)"/>
      <w:numFmt w:val="decimal"/>
      <w:start w:val="1"/>
    </w:lvl>
  </w:abstractNum>
  <w:abstractNum w:abstractNumId="64">
    <w:nsid w:val="4C9B0904"/>
    <w:multiLevelType w:val="hybridMultilevel"/>
    <w:lvl w:ilvl="0">
      <w:lvlJc w:val="left"/>
      <w:lvlText w:val="(%1)"/>
      <w:numFmt w:val="lowerRoman"/>
      <w:start w:val="1"/>
    </w:lvl>
  </w:abstractNum>
  <w:abstractNum w:abstractNumId="65">
    <w:nsid w:val="6AA7B75C"/>
    <w:multiLevelType w:val="hybridMultilevel"/>
    <w:lvl w:ilvl="0">
      <w:lvlJc w:val="left"/>
      <w:lvlText w:val="(%1)"/>
      <w:numFmt w:val="decimal"/>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1)"/>
      <w:numFmt w:val="decimal"/>
      <w:start w:val="1"/>
    </w:lvl>
  </w:abstractNum>
  <w:abstractNum w:abstractNumId="69">
    <w:nsid w:val="3DB012B3"/>
    <w:multiLevelType w:val="hybridMultilevel"/>
    <w:lvl w:ilvl="0">
      <w:lvlJc w:val="left"/>
      <w:lvlText w:val="(%1)"/>
      <w:numFmt w:val="decimal"/>
      <w:start w:val="1"/>
    </w:lvl>
  </w:abstractNum>
  <w:abstractNum w:abstractNumId="70">
    <w:nsid w:val="2708C9AF"/>
    <w:multiLevelType w:val="hybridMultilevel"/>
    <w:lvl w:ilvl="0">
      <w:lvlJc w:val="left"/>
      <w:lvlText w:val="(%1)"/>
      <w:numFmt w:val="decimal"/>
      <w:start w:val="1"/>
    </w:lvl>
  </w:abstractNum>
  <w:abstractNum w:abstractNumId="71">
    <w:nsid w:val="5B25ACE2"/>
    <w:multiLevelType w:val="hybridMultilevel"/>
    <w:lvl w:ilvl="0">
      <w:lvlJc w:val="left"/>
      <w:lvlText w:val="(%1)"/>
      <w:numFmt w:val="decimal"/>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endash "/>
      <w:numFmt w:val="bullet"/>
      <w:start w:val="1"/>
    </w:lvl>
  </w:abstractNum>
  <w:abstractNum w:abstractNumId="74">
    <w:nsid w:val="53B0A9E"/>
    <w:multiLevelType w:val="hybridMultilevel"/>
    <w:lvl w:ilvl="0">
      <w:lvlJc w:val="left"/>
      <w:lvlText w:val="(%1)"/>
      <w:numFmt w:val="decimal"/>
      <w:start w:val="1"/>
    </w:lvl>
  </w:abstractNum>
  <w:abstractNum w:abstractNumId="75">
    <w:nsid w:val="34FD6B4F"/>
    <w:multiLevelType w:val="hybridMultilevel"/>
    <w:lvl w:ilvl="0">
      <w:lvlJc w:val="left"/>
      <w:lvlText w:val="(%1)"/>
      <w:numFmt w:val="decimal"/>
      <w:start w:val="1"/>
    </w:lvl>
  </w:abstractNum>
  <w:abstractNum w:abstractNumId="76">
    <w:nsid w:val="5915FF32"/>
    <w:multiLevelType w:val="hybridMultilevel"/>
    <w:lvl w:ilvl="0">
      <w:lvlJc w:val="left"/>
      <w:lvlText w:val="(%1)"/>
      <w:numFmt w:val="decimal"/>
      <w:start w:val="1"/>
    </w:lvl>
  </w:abstractNum>
  <w:abstractNum w:abstractNumId="77">
    <w:nsid w:val="56438D15"/>
    <w:multiLevelType w:val="hybridMultilevel"/>
    <w:lvl w:ilvl="0">
      <w:lvlJc w:val="left"/>
      <w:lvlText w:val="(%1)"/>
      <w:numFmt w:val="decimal"/>
      <w:start w:val="1"/>
    </w:lvl>
  </w:abstractNum>
  <w:abstractNum w:abstractNumId="78">
    <w:nsid w:val="519E3149"/>
    <w:multiLevelType w:val="hybridMultilevel"/>
    <w:lvl w:ilvl="0">
      <w:lvlJc w:val="left"/>
      <w:lvlText w:val="(%1)"/>
      <w:numFmt w:val="decimal"/>
      <w:start w:val="1"/>
    </w:lvl>
  </w:abstractNum>
  <w:abstractNum w:abstractNumId="79">
    <w:nsid w:val="2C6E4AFD"/>
    <w:multiLevelType w:val="hybridMultilevel"/>
    <w:lvl w:ilvl="0">
      <w:lvlJc w:val="left"/>
      <w:lvlText w:val="%1"/>
      <w:numFmt w:val="upperLetter"/>
      <w:start w:val="61"/>
    </w:lvl>
  </w:abstractNum>
  <w:abstractNum w:abstractNumId="80">
    <w:nsid w:val="17A1B582"/>
    <w:multiLevelType w:val="hybridMultilevel"/>
    <w:lvl w:ilvl="0">
      <w:lvlJc w:val="left"/>
      <w:lvlText w:val="(%1)"/>
      <w:numFmt w:val="decimal"/>
      <w:start w:val="1"/>
    </w:lvl>
  </w:abstractNum>
  <w:abstractNum w:abstractNumId="81">
    <w:nsid w:val="4DF72E4E"/>
    <w:multiLevelType w:val="hybridMultilevel"/>
    <w:lvl w:ilvl="0">
      <w:lvlJc w:val="left"/>
      <w:lvlText w:val="(%1)"/>
      <w:numFmt w:val="decimal"/>
      <w:start w:val="1"/>
    </w:lvl>
  </w:abstractNum>
  <w:abstractNum w:abstractNumId="82">
    <w:nsid w:val="5046B5A9"/>
    <w:multiLevelType w:val="hybridMultilevel"/>
    <w:lvl w:ilvl="0">
      <w:lvlJc w:val="left"/>
      <w:lvlText w:val="(%1)"/>
      <w:numFmt w:val="decimal"/>
      <w:start w:val="1"/>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1)"/>
      <w:numFmt w:val="lowerRoman"/>
      <w:start w:val="1"/>
    </w:lvl>
  </w:abstractNum>
  <w:abstractNum w:abstractNumId="86">
    <w:nsid w:val="19E21BB2"/>
    <w:multiLevelType w:val="hybridMultilevel"/>
    <w:lvl w:ilvl="0">
      <w:lvlJc w:val="left"/>
      <w:lvlText w:val="(%1)"/>
      <w:numFmt w:val="decimal"/>
      <w:start w:val="1"/>
    </w:lvl>
  </w:abstractNum>
  <w:abstractNum w:abstractNumId="87">
    <w:nsid w:val="75E0858A"/>
    <w:multiLevelType w:val="hybridMultilevel"/>
    <w:lvl w:ilvl="0">
      <w:lvlJc w:val="left"/>
      <w:lvlText w:val="(%1)"/>
      <w:numFmt w:val="decimal"/>
      <w:start w:val="2"/>
    </w:lvl>
  </w:abstractNum>
  <w:abstractNum w:abstractNumId="88">
    <w:nsid w:val="57A61A29"/>
    <w:multiLevelType w:val="hybridMultilevel"/>
    <w:lvl w:ilvl="0">
      <w:lvlJc w:val="left"/>
      <w:lvlText w:val="%1"/>
      <w:numFmt w:val="decimal"/>
      <w:start w:val="101"/>
    </w:lvl>
  </w:abstractNum>
  <w:abstractNum w:abstractNumId="89">
    <w:nsid w:val="5399C654"/>
    <w:multiLevelType w:val="hybridMultilevel"/>
    <w:lvl w:ilvl="0">
      <w:lvlJc w:val="left"/>
      <w:lvlText w:val="%1"/>
      <w:numFmt w:val="decimal"/>
      <w:start w:val="104"/>
    </w:lvl>
  </w:abstractNum>
  <w:abstractNum w:abstractNumId="90">
    <w:nsid w:val="20EE1348"/>
    <w:multiLevelType w:val="hybridMultilevel"/>
    <w:lvl w:ilvl="0">
      <w:lvlJc w:val="left"/>
      <w:lvlText w:val="†"/>
      <w:numFmt w:val="bullet"/>
      <w:start w:val="1"/>
    </w:lvl>
  </w:abstractNum>
  <w:abstractNum w:abstractNumId="91">
    <w:nsid w:val="4427069A"/>
    <w:multiLevelType w:val="hybridMultilevel"/>
    <w:lvl w:ilvl="0">
      <w:lvlJc w:val="left"/>
      <w:lvlText w:val="*"/>
      <w:numFmt w:val="bullet"/>
      <w:start w:val="1"/>
    </w:lvl>
  </w:abstractNum>
  <w:abstractNum w:abstractNumId="92">
    <w:nsid w:val="B37E80A"/>
    <w:multiLevelType w:val="hybridMultilevel"/>
    <w:lvl w:ilvl="0">
      <w:lvlJc w:val="left"/>
      <w:lvlText w:val="^"/>
      <w:numFmt w:val="bullet"/>
      <w:start w:val="1"/>
    </w:lvl>
  </w:abstractNum>
  <w:abstractNum w:abstractNumId="93">
    <w:nsid w:val="2157F6BC"/>
    <w:multiLevelType w:val="hybridMultilevel"/>
    <w:lvl w:ilvl="0">
      <w:lvlJc w:val="left"/>
      <w:lvlText w:val="(%1)"/>
      <w:numFmt w:val="lowerRoman"/>
      <w:start w:val="1"/>
    </w:lvl>
  </w:abstractNum>
  <w:abstractNum w:abstractNumId="94">
    <w:nsid w:val="704E1DD5"/>
    <w:multiLevelType w:val="hybridMultilevel"/>
    <w:lvl w:ilvl="0">
      <w:lvlJc w:val="left"/>
      <w:lvlText w:val="%1."/>
      <w:numFmt w:val="decimal"/>
      <w:start w:val="1"/>
    </w:lvl>
    <w:lvl w:ilvl="1">
      <w:lvlJc w:val="left"/>
      <w:lvlText w:val="(%2)"/>
      <w:numFmt w:val="lowerLetter"/>
      <w:start w:val="1"/>
    </w:lvl>
  </w:abstractNum>
  <w:abstractNum w:abstractNumId="95">
    <w:nsid w:val="57D2F10E"/>
    <w:multiLevelType w:val="hybridMultilevel"/>
    <w:lvl w:ilvl="0">
      <w:lvlJc w:val="left"/>
      <w:lvlText w:val="%1."/>
      <w:numFmt w:val="decimal"/>
      <w:start w:val="3"/>
    </w:lvl>
  </w:abstractNum>
  <w:abstractNum w:abstractNumId="96">
    <w:nsid w:val="BFFAE18"/>
    <w:multiLevelType w:val="hybridMultilevel"/>
    <w:lvl w:ilvl="0">
      <w:lvlJc w:val="left"/>
      <w:lvlText w:val="%1."/>
      <w:numFmt w:val="decimal"/>
      <w:start w:val="7"/>
    </w:lvl>
    <w:lvl w:ilvl="1">
      <w:lvlJc w:val="left"/>
      <w:lvlText w:val="(%2)"/>
      <w:numFmt w:val="lowerLetter"/>
      <w:start w:val="1"/>
    </w:lvl>
  </w:abstractNum>
  <w:abstractNum w:abstractNumId="97">
    <w:nsid w:val="E3E47A8"/>
    <w:multiLevelType w:val="hybridMultilevel"/>
    <w:lvl w:ilvl="0">
      <w:lvlJc w:val="left"/>
      <w:lvlText w:val="%1"/>
      <w:numFmt w:val="decimal"/>
      <w:start w:val="1"/>
    </w:lvl>
    <w:lvl w:ilvl="1">
      <w:lvlJc w:val="left"/>
      <w:lvlText w:val="(%2)"/>
      <w:numFmt w:val="lowerLetter"/>
      <w:start w:val="3"/>
    </w:lvl>
  </w:abstractNum>
  <w:abstractNum w:abstractNumId="98">
    <w:nsid w:val="2E48F044"/>
    <w:multiLevelType w:val="hybridMultilevel"/>
    <w:lvl w:ilvl="0">
      <w:lvlJc w:val="left"/>
      <w:lvlText w:val="%1."/>
      <w:numFmt w:val="decimal"/>
      <w:start w:val="8"/>
    </w:lvl>
    <w:lvl w:ilvl="1">
      <w:lvlJc w:val="left"/>
      <w:lvlText w:val="%2"/>
      <w:numFmt w:val="lowerLetter"/>
      <w:start w:val="1"/>
    </w:lvl>
  </w:abstractNum>
  <w:abstractNum w:abstractNumId="99">
    <w:nsid w:val="49D0FEAC"/>
    <w:multiLevelType w:val="hybridMultilevel"/>
    <w:lvl w:ilvl="0">
      <w:lvlJc w:val="left"/>
      <w:lvlText w:val="%1."/>
      <w:numFmt w:val="decimal"/>
      <w:start w:val="9"/>
    </w:lvl>
    <w:lvl w:ilvl="1">
      <w:lvlJc w:val="left"/>
      <w:lvlText w:val="(%2)"/>
      <w:numFmt w:val="lowerLetter"/>
      <w:start w:val="1"/>
    </w:lvl>
  </w:abstractNum>
  <w:abstractNum w:abstractNumId="100">
    <w:nsid w:val="4BEE5A5B"/>
    <w:multiLevelType w:val="hybridMultilevel"/>
    <w:lvl w:ilvl="0">
      <w:lvlJc w:val="left"/>
      <w:lvlText w:val="%1."/>
      <w:numFmt w:val="decimal"/>
      <w:start w:val="10"/>
    </w:lvl>
    <w:lvl w:ilvl="1">
      <w:lvlJc w:val="left"/>
      <w:lvlText w:val="(%2)"/>
      <w:numFmt w:val="lowerLetter"/>
      <w:start w:val="1"/>
    </w:lvl>
  </w:abstractNum>
  <w:abstractNum w:abstractNumId="101">
    <w:nsid w:val="5551B9F3"/>
    <w:multiLevelType w:val="hybridMultilevel"/>
    <w:lvl w:ilvl="0">
      <w:lvlJc w:val="left"/>
      <w:lvlText w:val="(%1)"/>
      <w:numFmt w:val="lowerLetter"/>
      <w:start w:val="2"/>
    </w:lvl>
    <w:lvl w:ilvl="1">
      <w:lvlJc w:val="left"/>
      <w:lvlText w:val="(%2)"/>
      <w:numFmt w:val="lowerRoman"/>
      <w:start w:val="1"/>
    </w:lvl>
  </w:abstractNum>
  <w:abstractNum w:abstractNumId="102">
    <w:nsid w:val="24F6AB8E"/>
    <w:multiLevelType w:val="hybridMultilevel"/>
    <w:lvl w:ilvl="0">
      <w:lvlJc w:val="left"/>
      <w:lvlText w:val="%1"/>
      <w:numFmt w:val="lowerLetter"/>
      <w:start w:val="1"/>
    </w:lvl>
    <w:lvl w:ilvl="1">
      <w:lvlJc w:val="left"/>
      <w:lvlText w:val="(%2)"/>
      <w:numFmt w:val="lowerLetter"/>
      <w:start w:val="7"/>
    </w:lvl>
  </w:abstractNum>
  <w:abstractNum w:abstractNumId="103">
    <w:nsid w:val="634C574C"/>
    <w:multiLevelType w:val="hybridMultilevel"/>
    <w:lvl w:ilvl="0">
      <w:lvlJc w:val="left"/>
      <w:lvlText w:val="(%1)"/>
      <w:numFmt w:val="lowerLetter"/>
      <w:start w:val="9"/>
    </w:lvl>
    <w:lvl w:ilvl="1">
      <w:lvlJc w:val="left"/>
      <w:lvlText w:val="(%2)"/>
      <w:numFmt w:val="lowerLetter"/>
      <w:start w:val="9"/>
    </w:lvl>
  </w:abstractNum>
  <w:abstractNum w:abstractNumId="104">
    <w:nsid w:val="24E99DD7"/>
    <w:multiLevelType w:val="hybridMultilevel"/>
    <w:lvl w:ilvl="0">
      <w:lvlJc w:val="left"/>
      <w:lvlText w:val="(%1)"/>
      <w:numFmt w:val="lowerLetter"/>
      <w:start w:val="11"/>
    </w:lvl>
  </w:abstractNum>
  <w:abstractNum w:abstractNumId="105">
    <w:nsid w:val="2A31B62D"/>
    <w:multiLevelType w:val="hybridMultilevel"/>
    <w:lvl w:ilvl="0">
      <w:lvlJc w:val="left"/>
      <w:lvlText w:val="(%1)"/>
      <w:numFmt w:val="lowerLetter"/>
      <w:start w:val="1"/>
    </w:lvl>
  </w:abstractNum>
  <w:abstractNum w:abstractNumId="106">
    <w:nsid w:val="1849C29B"/>
    <w:multiLevelType w:val="hybridMultilevel"/>
    <w:lvl w:ilvl="0">
      <w:lvlJc w:val="left"/>
      <w:lvlText w:val="(%1)"/>
      <w:numFmt w:val="lowerRoman"/>
      <w:start w:val="2"/>
    </w:lvl>
  </w:abstractNum>
  <w:abstractNum w:abstractNumId="107">
    <w:nsid w:val="7DFF9D09"/>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108">
    <w:nsid w:val="75434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09">
    <w:nsid w:val="69E7F3E5"/>
    <w:multiLevelType w:val="hybridMultilevel"/>
    <w:lvl w:ilvl="0">
      <w:lvlJc w:val="left"/>
      <w:lvlText w:val="%1"/>
      <w:numFmt w:val="lowerLetter"/>
      <w:start w:val="1"/>
    </w:lvl>
    <w:lvl w:ilvl="1">
      <w:lvlJc w:val="left"/>
      <w:lvlText w:val="(%2)"/>
      <w:numFmt w:val="lowerRoman"/>
      <w:start w:val="4"/>
    </w:lvl>
  </w:abstractNum>
  <w:abstractNum w:abstractNumId="110">
    <w:nsid w:val="2A6DE806"/>
    <w:multiLevelType w:val="hybridMultilevel"/>
    <w:lvl w:ilvl="0">
      <w:lvlJc w:val="left"/>
      <w:lvlText w:val="(%1)"/>
      <w:numFmt w:val="lowerLetter"/>
      <w:start w:val="6"/>
    </w:lvl>
    <w:lvl w:ilvl="1">
      <w:lvlJc w:val="left"/>
      <w:lvlText w:val="%2"/>
      <w:numFmt w:val="lowerRoman"/>
      <w:start w:val="1"/>
    </w:lvl>
  </w:abstractNum>
  <w:abstractNum w:abstractNumId="111">
    <w:nsid w:val="1816F8C4"/>
    <w:multiLevelType w:val="hybridMultilevel"/>
    <w:lvl w:ilvl="0">
      <w:lvlJc w:val="left"/>
      <w:lvlText w:val="(%1)"/>
      <w:numFmt w:val="lowerLetter"/>
      <w:start w:val="14"/>
    </w:lvl>
  </w:abstractNum>
  <w:abstractNum w:abstractNumId="112">
    <w:nsid w:val="37DF2233"/>
    <w:multiLevelType w:val="hybridMultilevel"/>
    <w:lvl w:ilvl="0">
      <w:lvlJc w:val="left"/>
      <w:lvlText w:val="(%1)"/>
      <w:numFmt w:val="lowerLetter"/>
      <w:start w:val="21"/>
    </w:lvl>
  </w:abstractNum>
  <w:abstractNum w:abstractNumId="113">
    <w:nsid w:val="7AB49DAF"/>
    <w:multiLevelType w:val="hybridMultilevel"/>
    <w:lvl w:ilvl="0">
      <w:lvlJc w:val="left"/>
      <w:lvlText w:val="(%1)"/>
      <w:numFmt w:val="lowerLetter"/>
      <w:start w:val="1"/>
    </w:lvl>
  </w:abstractNum>
  <w:abstractNum w:abstractNumId="114">
    <w:nsid w:val="759F82CD"/>
    <w:multiLevelType w:val="hybridMultilevel"/>
    <w:lvl w:ilvl="0">
      <w:lvlJc w:val="left"/>
      <w:lvlText w:val="(%1)"/>
      <w:numFmt w:val="lowerLetter"/>
      <w:start w:val="1"/>
    </w:lvl>
  </w:abstractNum>
  <w:abstractNum w:abstractNumId="115">
    <w:nsid w:val="61E74EA3"/>
    <w:multiLevelType w:val="hybridMultilevel"/>
    <w:lvl w:ilvl="0">
      <w:lvlJc w:val="left"/>
      <w:lvlText w:val="(%1)"/>
      <w:numFmt w:val="lowerLetter"/>
      <w:start w:val="2"/>
    </w:lvl>
  </w:abstractNum>
  <w:abstractNum w:abstractNumId="116">
    <w:nsid w:val="597B4D84"/>
    <w:multiLevelType w:val="hybridMultilevel"/>
    <w:lvl w:ilvl="0">
      <w:lvlJc w:val="left"/>
      <w:lvlText w:val="(%1)"/>
      <w:numFmt w:val="lowerLetter"/>
      <w:start w:val="1"/>
    </w:lvl>
  </w:abstractNum>
  <w:abstractNum w:abstractNumId="117">
    <w:nsid w:val="F819E7F"/>
    <w:multiLevelType w:val="hybridMultilevel"/>
    <w:lvl w:ilvl="0">
      <w:lvlJc w:val="left"/>
      <w:lvlText w:val="(%1)"/>
      <w:numFmt w:val="lowerLetter"/>
      <w:start w:val="5"/>
    </w:lvl>
  </w:abstractNum>
  <w:abstractNum w:abstractNumId="118">
    <w:nsid w:val="57C7D42D"/>
    <w:multiLevelType w:val="hybridMultilevel"/>
    <w:lvl w:ilvl="0">
      <w:lvlJc w:val="left"/>
      <w:lvlText w:val="(%1)"/>
      <w:numFmt w:val="decimal"/>
      <w:start w:val="6"/>
    </w:lvl>
  </w:abstractNum>
  <w:abstractNum w:abstractNumId="119">
    <w:nsid w:val="312167AD"/>
    <w:multiLevelType w:val="hybridMultilevel"/>
    <w:lvl w:ilvl="0">
      <w:lvlJc w:val="left"/>
      <w:lvlText w:val="(%1)"/>
      <w:numFmt w:val="lowerRoman"/>
      <w:start w:val="1"/>
    </w:lvl>
  </w:abstractNum>
  <w:abstractNum w:abstractNumId="120">
    <w:nsid w:val="631B64D4"/>
    <w:multiLevelType w:val="hybridMultilevel"/>
    <w:lvl w:ilvl="0">
      <w:lvlJc w:val="left"/>
      <w:lvlText w:val="%1."/>
      <w:numFmt w:val="decimal"/>
      <w:start w:val="1"/>
    </w:lvl>
  </w:abstractNum>
  <w:abstractNum w:abstractNumId="121">
    <w:nsid w:val="78B5E776"/>
    <w:multiLevelType w:val="hybridMultilevel"/>
    <w:lvl w:ilvl="0">
      <w:lvlJc w:val="left"/>
      <w:lvlText w:val="%1."/>
      <w:numFmt w:val="decimal"/>
      <w:start w:val="2"/>
    </w:lvl>
  </w:abstractNum>
  <w:abstractNum w:abstractNumId="122">
    <w:nsid w:val="75486E4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3">
    <w:nsid w:val="6E534C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4">
    <w:nsid w:val="1A0DDE3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5">
    <w:nsid w:val="65968C1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6">
    <w:nsid w:val="46263DEC"/>
    <w:multiLevelType w:val="hybridMultilevel"/>
    <w:lvl w:ilvl="0">
      <w:lvlJc w:val="left"/>
      <w:lvlText w:val="%1."/>
      <w:numFmt w:val="decimal"/>
      <w:start w:val="10"/>
    </w:lvl>
  </w:abstractNum>
  <w:abstractNum w:abstractNumId="127">
    <w:nsid w:val="260D8C4A"/>
    <w:multiLevelType w:val="hybridMultilevel"/>
    <w:lvl w:ilvl="0">
      <w:lvlJc w:val="left"/>
      <w:lvlText w:val="%1."/>
      <w:numFmt w:val="decimal"/>
      <w:start w:val="16"/>
    </w:lvl>
    <w:lvl w:ilvl="1">
      <w:lvlJc w:val="left"/>
      <w:lvlText w:val="(%2)"/>
      <w:numFmt w:val="lowerLetter"/>
      <w:start w:val="1"/>
    </w:lvl>
  </w:abstractNum>
  <w:abstractNum w:abstractNumId="128">
    <w:nsid w:val="73D4D3C4"/>
    <w:multiLevelType w:val="hybridMultilevel"/>
    <w:lvl w:ilvl="0">
      <w:lvlJc w:val="left"/>
      <w:lvlText w:val="%1."/>
      <w:numFmt w:val="decimal"/>
      <w:start w:val="17"/>
    </w:lvl>
    <w:lvl w:ilvl="1">
      <w:lvlJc w:val="left"/>
      <w:lvlText w:val="(%2)"/>
      <w:numFmt w:val="lowerLetter"/>
      <w:start w:val="1"/>
    </w:lvl>
  </w:abstractNum>
  <w:abstractNum w:abstractNumId="129">
    <w:nsid w:val="746F2E30"/>
    <w:multiLevelType w:val="hybridMultilevel"/>
    <w:lvl w:ilvl="0">
      <w:lvlJc w:val="left"/>
      <w:lvlText w:val="%1"/>
      <w:numFmt w:val="decimal"/>
      <w:start w:val="1"/>
    </w:lvl>
    <w:lvl w:ilvl="1">
      <w:lvlJc w:val="left"/>
      <w:lvlText w:val="(%2)"/>
      <w:numFmt w:val="lowerLetter"/>
      <w:start w:val="6"/>
    </w:lvl>
  </w:abstractNum>
  <w:abstractNum w:abstractNumId="130">
    <w:nsid w:val="6FDE8AF6"/>
    <w:multiLevelType w:val="hybridMultilevel"/>
    <w:lvl w:ilvl="0">
      <w:lvlJc w:val="left"/>
      <w:lvlText w:val="%1."/>
      <w:numFmt w:val="decimal"/>
      <w:start w:val="19"/>
    </w:lvl>
    <w:lvl w:ilvl="1">
      <w:lvlJc w:val="left"/>
      <w:lvlText w:val="%2"/>
      <w:numFmt w:val="lowerLetter"/>
      <w:start w:val="1"/>
    </w:lvl>
  </w:abstractNum>
  <w:abstractNum w:abstractNumId="131">
    <w:nsid w:val="3FC32E20"/>
    <w:multiLevelType w:val="hybridMultilevel"/>
    <w:lvl w:ilvl="0">
      <w:lvlJc w:val="left"/>
      <w:lvlText w:val="%1."/>
      <w:numFmt w:val="decimal"/>
      <w:start w:val="26"/>
    </w:lvl>
    <w:lvl w:ilvl="1">
      <w:lvlJc w:val="left"/>
      <w:lvlText w:val="*"/>
      <w:numFmt w:val="bullet"/>
      <w:start w:val="1"/>
    </w:lvl>
  </w:abstractNum>
  <w:abstractNum w:abstractNumId="132">
    <w:nsid w:val="49C0E823"/>
    <w:multiLevelType w:val="hybridMultilevel"/>
    <w:lvl w:ilvl="0">
      <w:lvlJc w:val="left"/>
      <w:lvlText w:val="(%1)"/>
      <w:numFmt w:val="decimal"/>
      <w:start w:val="7"/>
    </w:lvl>
  </w:abstractNum>
  <w:abstractNum w:abstractNumId="133">
    <w:nsid w:val="14D53685"/>
    <w:multiLevelType w:val="hybridMultilevel"/>
    <w:lvl w:ilvl="0">
      <w:lvlJc w:val="left"/>
      <w:lvlText w:val="(%1)"/>
      <w:numFmt w:val="lowerLetter"/>
      <w:start w:val="1"/>
    </w:lvl>
  </w:abstractNum>
  <w:abstractNum w:abstractNumId="134">
    <w:nsid w:val="230F856C"/>
    <w:multiLevelType w:val="hybridMultilevel"/>
    <w:lvl w:ilvl="0">
      <w:lvlJc w:val="left"/>
      <w:lvlText w:val="1"/>
      <w:numFmt w:val="bullet"/>
      <w:start w:val="1"/>
    </w:lvl>
  </w:abstractNum>
  <w:abstractNum w:abstractNumId="135">
    <w:nsid w:val="6EAA85FB"/>
    <w:multiLevelType w:val="hybridMultilevel"/>
    <w:lvl w:ilvl="0">
      <w:lvlJc w:val="left"/>
      <w:lvlText w:val="%1."/>
      <w:numFmt w:val="decimal"/>
      <w:start w:val="1"/>
    </w:lvl>
    <w:lvl w:ilvl="1">
      <w:lvlJc w:val="left"/>
      <w:lvlText w:val="(%2)"/>
      <w:numFmt w:val="lowerLetter"/>
      <w:start w:val="1"/>
    </w:lvl>
  </w:abstractNum>
  <w:abstractNum w:abstractNumId="136">
    <w:nsid w:val="3F06ECB2"/>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37">
    <w:nsid w:val="3B59480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8">
    <w:nsid w:val="6CAA2304"/>
    <w:multiLevelType w:val="hybridMultilevel"/>
    <w:lvl w:ilvl="0">
      <w:lvlJc w:val="left"/>
      <w:lvlText w:val="(%1)"/>
      <w:numFmt w:val="lowerRoman"/>
      <w:start w:val="1"/>
    </w:lvl>
  </w:abstractNum>
  <w:abstractNum w:abstractNumId="139">
    <w:nsid w:val="3F7C2FF4"/>
    <w:multiLevelType w:val="hybridMultilevel"/>
    <w:lvl w:ilvl="0">
      <w:lvlJc w:val="left"/>
      <w:lvlText w:val="(%1)"/>
      <w:numFmt w:val="lowerLetter"/>
      <w:start w:val="3"/>
    </w:lvl>
  </w:abstractNum>
  <w:abstractNum w:abstractNumId="140">
    <w:nsid w:val="25413BEC"/>
    <w:multiLevelType w:val="hybridMultilevel"/>
    <w:lvl w:ilvl="0">
      <w:lvlJc w:val="left"/>
      <w:lvlText w:val="%1."/>
      <w:numFmt w:val="decimal"/>
      <w:start w:val="4"/>
    </w:lvl>
    <w:lvl w:ilvl="1">
      <w:lvlJc w:val="left"/>
      <w:lvlText w:val="(%2)"/>
      <w:numFmt w:val="lowerLetter"/>
      <w:start w:val="1"/>
    </w:lvl>
  </w:abstractNum>
  <w:abstractNum w:abstractNumId="141">
    <w:nsid w:val="17180B0B"/>
    <w:multiLevelType w:val="hybridMultilevel"/>
    <w:lvl w:ilvl="0">
      <w:lvlJc w:val="left"/>
      <w:lvlText w:val="(%1)"/>
      <w:numFmt w:val="lowerLetter"/>
      <w:start w:val="5"/>
    </w:lvl>
  </w:abstractNum>
  <w:abstractNum w:abstractNumId="142">
    <w:nsid w:val="579328B9"/>
    <w:multiLevelType w:val="hybridMultilevel"/>
    <w:lvl w:ilvl="0">
      <w:lvlJc w:val="left"/>
      <w:lvlText w:val="(%1)"/>
      <w:numFmt w:val="lowerLetter"/>
      <w:start w:val="9"/>
    </w:lvl>
  </w:abstractNum>
  <w:abstractNum w:abstractNumId="143">
    <w:nsid w:val="5D205E20"/>
    <w:multiLevelType w:val="hybridMultilevel"/>
    <w:lvl w:ilvl="0">
      <w:lvlJc w:val="left"/>
      <w:lvlText w:val="(%1)"/>
      <w:numFmt w:val="lowerLetter"/>
      <w:start w:val="12"/>
    </w:lvl>
  </w:abstractNum>
  <w:abstractNum w:abstractNumId="144">
    <w:nsid w:val="11CCA8BA"/>
    <w:multiLevelType w:val="hybridMultilevel"/>
    <w:lvl w:ilvl="0">
      <w:lvlJc w:val="left"/>
      <w:lvlText w:val="%1."/>
      <w:numFmt w:val="upperLetter"/>
      <w:start w:val="9"/>
    </w:lvl>
  </w:abstractNum>
  <w:abstractNum w:abstractNumId="145">
    <w:nsid w:val="4D32AB86"/>
    <w:multiLevelType w:val="hybridMultilevel"/>
    <w:lvl w:ilvl="0">
      <w:lvlJc w:val="left"/>
      <w:lvlText w:val="1"/>
      <w:numFmt w:val="bullet"/>
      <w:start w:val="1"/>
    </w:lvl>
  </w:abstractNum>
  <w:abstractNum w:abstractNumId="146">
    <w:nsid w:val="3F07ACC3"/>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47">
    <w:nsid w:val="6B47F63E"/>
    <w:multiLevelType w:val="hybridMultilevel"/>
    <w:lvl w:ilvl="0">
      <w:lvlJc w:val="left"/>
      <w:lvlText w:val="%1."/>
      <w:numFmt w:val="decimal"/>
      <w:start w:val="3"/>
    </w:lvl>
  </w:abstractNum>
  <w:abstractNum w:abstractNumId="148">
    <w:nsid w:val="5CB44A05"/>
    <w:multiLevelType w:val="hybridMultilevel"/>
    <w:lvl w:ilvl="0">
      <w:lvlJc w:val="left"/>
      <w:lvlText w:val="%1."/>
      <w:numFmt w:val="decimal"/>
      <w:start w:val="7"/>
    </w:lvl>
  </w:abstractNum>
  <w:abstractNum w:abstractNumId="149">
    <w:nsid w:val="16CF80F1"/>
    <w:multiLevelType w:val="hybridMultilevel"/>
    <w:lvl w:ilvl="0">
      <w:lvlJc w:val="left"/>
      <w:lvlText w:val="•"/>
      <w:numFmt w:val="bullet"/>
      <w:start w:val="1"/>
    </w:lvl>
  </w:abstractNum>
  <w:abstractNum w:abstractNumId="150">
    <w:nsid w:val="1C695DEC"/>
    <w:multiLevelType w:val="hybridMultilevel"/>
    <w:lvl w:ilvl="0">
      <w:lvlJc w:val="left"/>
      <w:lvlText w:val="(%1)"/>
      <w:numFmt w:val="lowerRoman"/>
      <w:start w:val="4"/>
    </w:lvl>
  </w:abstractNum>
  <w:abstractNum w:abstractNumId="151">
    <w:nsid w:val="3FCFAED9"/>
    <w:multiLevelType w:val="hybridMultilevel"/>
    <w:lvl w:ilvl="0">
      <w:lvlJc w:val="left"/>
      <w:lvlText w:val="%1."/>
      <w:numFmt w:val="upperLetter"/>
      <w:start w:val="2"/>
    </w:lvl>
    <w:lvl w:ilvl="1">
      <w:lvlJc w:val="left"/>
      <w:lvlText w:val="%2."/>
      <w:numFmt w:val="decimal"/>
      <w:start w:val="1"/>
    </w:lvl>
  </w:abstractNum>
  <w:abstractNum w:abstractNumId="152">
    <w:nsid w:val="F856867"/>
    <w:multiLevelType w:val="hybridMultilevel"/>
    <w:lvl w:ilvl="0">
      <w:lvlJc w:val="left"/>
      <w:lvlText w:val="%1."/>
      <w:numFmt w:val="decimal"/>
      <w:start w:val="2"/>
    </w:lvl>
  </w:abstractNum>
  <w:abstractNum w:abstractNumId="153">
    <w:nsid w:val="11B1CC33"/>
    <w:multiLevelType w:val="hybridMultilevel"/>
    <w:lvl w:ilvl="0">
      <w:lvlJc w:val="left"/>
      <w:lvlText w:val="%1."/>
      <w:numFmt w:val="decimal"/>
      <w:start w:val="3"/>
    </w:lvl>
  </w:abstractNum>
  <w:abstractNum w:abstractNumId="154">
    <w:nsid w:val="2E22FBB7"/>
    <w:multiLevelType w:val="hybridMultilevel"/>
    <w:lvl w:ilvl="0">
      <w:lvlJc w:val="left"/>
      <w:lvlText w:val="•"/>
      <w:numFmt w:val="bullet"/>
      <w:start w:val="1"/>
    </w:lvl>
  </w:abstractNum>
  <w:abstractNum w:abstractNumId="155">
    <w:nsid w:val="29934699"/>
    <w:multiLevelType w:val="hybridMultilevel"/>
    <w:lvl w:ilvl="0">
      <w:lvlJc w:val="left"/>
      <w:lvlText w:val="%1."/>
      <w:numFmt w:val="upperLetter"/>
      <w:start w:val="3"/>
    </w:lvl>
  </w:abstractNum>
  <w:abstractNum w:abstractNumId="156">
    <w:nsid w:val="77485850"/>
    <w:multiLevelType w:val="hybridMultilevel"/>
    <w:lvl w:ilvl="0">
      <w:lvlJc w:val="left"/>
      <w:lvlText w:val="%1."/>
      <w:numFmt w:val="upperLetter"/>
      <w:start w:val="4"/>
    </w:lvl>
    <w:lvl w:ilvl="1">
      <w:lvlJc w:val="left"/>
      <w:lvlText w:val="%2."/>
      <w:numFmt w:val="decimal"/>
      <w:start w:val="1"/>
    </w:lvl>
  </w:abstractNum>
  <w:abstractNum w:abstractNumId="157">
    <w:nsid w:val="744939A3"/>
    <w:multiLevelType w:val="hybridMultilevel"/>
    <w:lvl w:ilvl="0">
      <w:lvlJc w:val="left"/>
      <w:lvlText w:val="%1."/>
      <w:numFmt w:val="decimal"/>
      <w:start w:val="2"/>
    </w:lvl>
  </w:abstractNum>
  <w:abstractNum w:abstractNumId="158">
    <w:nsid w:val="4FA0D2E3"/>
    <w:multiLevelType w:val="hybridMultilevel"/>
    <w:lvl w:ilvl="0">
      <w:lvlJc w:val="left"/>
      <w:lvlText w:val="%1."/>
      <w:numFmt w:val="decimal"/>
      <w:start w:val="3"/>
    </w:lvl>
  </w:abstractNum>
  <w:abstractNum w:abstractNumId="159">
    <w:nsid w:val="6B1D2C14"/>
    <w:multiLevelType w:val="hybridMultilevel"/>
    <w:lvl w:ilvl="0">
      <w:lvlJc w:val="left"/>
      <w:lvlText w:val="%1."/>
      <w:numFmt w:val="decimal"/>
      <w:start w:val="4"/>
    </w:lvl>
  </w:abstractNum>
  <w:abstractNum w:abstractNumId="160">
    <w:nsid w:val="68B867D3"/>
    <w:multiLevelType w:val="hybridMultilevel"/>
    <w:lvl w:ilvl="0">
      <w:lvlJc w:val="left"/>
      <w:lvlText w:val="%1."/>
      <w:numFmt w:val="upperLetter"/>
      <w:start w:val="5"/>
    </w:lvl>
  </w:abstractNum>
  <w:abstractNum w:abstractNumId="161">
    <w:nsid w:val="3F7F5DD9"/>
    <w:multiLevelType w:val="hybridMultilevel"/>
    <w:lvl w:ilvl="0">
      <w:lvlJc w:val="left"/>
      <w:lvlText w:val="%1."/>
      <w:numFmt w:val="upperLetter"/>
      <w:start w:val="6"/>
    </w:lvl>
  </w:abstractNum>
  <w:abstractNum w:abstractNumId="162">
    <w:nsid w:val="2AE05A34"/>
    <w:multiLevelType w:val="hybridMultilevel"/>
    <w:lvl w:ilvl="0">
      <w:lvlJc w:val="left"/>
      <w:lvlText w:val="%1."/>
      <w:numFmt w:val="upperLetter"/>
      <w:start w:val="7"/>
    </w:lvl>
  </w:abstractNum>
  <w:abstractNum w:abstractNumId="163">
    <w:nsid w:val="32794FF7"/>
    <w:multiLevelType w:val="hybridMultilevel"/>
    <w:lvl w:ilvl="0">
      <w:lvlJc w:val="left"/>
      <w:lvlText w:val="%1."/>
      <w:numFmt w:val="upperLetter"/>
      <w:start w:val="8"/>
    </w:lvl>
  </w:abstractNum>
  <w:abstractNum w:abstractNumId="164">
    <w:nsid w:val="5454945E"/>
    <w:multiLevelType w:val="hybridMultilevel"/>
    <w:lvl w:ilvl="0">
      <w:lvlJc w:val="left"/>
      <w:lvlText w:val="%1."/>
      <w:numFmt w:val="upperLetter"/>
      <w:start w:val="61"/>
    </w:lvl>
  </w:abstractNum>
  <w:abstractNum w:abstractNumId="165">
    <w:nsid w:val="4DEFDFA0"/>
    <w:multiLevelType w:val="hybridMultilevel"/>
    <w:lvl w:ilvl="0">
      <w:lvlJc w:val="left"/>
      <w:lvlText w:val="%1."/>
      <w:numFmt w:val="decimal"/>
      <w:start w:val="1"/>
    </w:lvl>
  </w:abstractNum>
  <w:abstractNum w:abstractNumId="166">
    <w:nsid w:val="2123D5F2"/>
    <w:multiLevelType w:val="hybridMultilevel"/>
    <w:lvl w:ilvl="0">
      <w:lvlJc w:val="left"/>
      <w:lvlText w:val="%1."/>
      <w:numFmt w:val="decimal"/>
      <w:start w:val="2"/>
    </w:lvl>
    <w:lvl w:ilvl="1">
      <w:lvlJc w:val="left"/>
      <w:lvlText w:val="●"/>
      <w:numFmt w:val="bullet"/>
      <w:start w:val="1"/>
    </w:lvl>
  </w:abstractNum>
  <w:abstractNum w:abstractNumId="167">
    <w:nsid w:val="135B8110"/>
    <w:multiLevelType w:val="hybridMultilevel"/>
    <w:lvl w:ilvl="0">
      <w:lvlJc w:val="left"/>
      <w:lvlText w:val="%1."/>
      <w:numFmt w:val="decimal"/>
      <w:start w:val="10"/>
    </w:lvl>
    <w:lvl w:ilvl="1">
      <w:lvlJc w:val="left"/>
      <w:lvlText w:val="●"/>
      <w:numFmt w:val="bullet"/>
      <w:start w:val="1"/>
    </w:lvl>
    <w:lvl w:ilvl="2">
      <w:lvlJc w:val="left"/>
      <w:lvlText w:val="%3."/>
      <w:numFmt w:val="lowerRoman"/>
      <w:start w:val="1"/>
    </w:lvl>
  </w:abstractNum>
  <w:abstractNum w:abstractNumId="168">
    <w:nsid w:val="94927A8"/>
    <w:multiLevelType w:val="hybridMultilevel"/>
    <w:lvl w:ilvl="0">
      <w:lvlJc w:val="left"/>
      <w:lvlText w:val="(%1)"/>
      <w:numFmt w:val="decimal"/>
      <w:start w:val="1"/>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
      <w:numFmt w:val="bullet"/>
      <w:start w:val="1"/>
    </w:lvl>
  </w:abstractNum>
  <w:abstractNum w:abstractNumId="172">
    <w:nsid w:val="24E604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9" Type="http://schemas.openxmlformats.org/officeDocument/2006/relationships/image" Target="media/image208.png"/><Relationship Id="rId236"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15" Type="http://schemas.openxmlformats.org/officeDocument/2006/relationships/hyperlink" Target="https://www.sec.gov/Archives/edgar/data/1796022/000119312521209305/d197424dex21.htm" TargetMode="External"/><Relationship Id="rId216" Type="http://schemas.openxmlformats.org/officeDocument/2006/relationships/hyperlink" Target="https://www.sec.gov/Archives/edgar/data/0001796022/000119312524028333/d707393dex21.htm" TargetMode="External"/><Relationship Id="rId217" Type="http://schemas.openxmlformats.org/officeDocument/2006/relationships/hyperlink" Target="https://www.sec.gov/Archives/edgar/data/1796022/000119312524028333/d707393dex22.htm" TargetMode="External"/><Relationship Id="rId218" Type="http://schemas.openxmlformats.org/officeDocument/2006/relationships/hyperlink" Target="https://www.sec.gov/Archives/edgar/data/1796022/000119312524028333/d707393dex23.htm" TargetMode="External"/><Relationship Id="rId220" Type="http://schemas.openxmlformats.org/officeDocument/2006/relationships/hyperlink" Target="https://www.sec.gov/Archives/edgar/data/1796022/000119312520248881/d23934dex31.htm" TargetMode="External"/><Relationship Id="rId221" Type="http://schemas.openxmlformats.org/officeDocument/2006/relationships/hyperlink" Target="https://www.sec.gov/Archives/edgar/data/1796022/000179602223000011/exhibit32q3fy2023.htm" TargetMode="External"/><Relationship Id="rId222" Type="http://schemas.openxmlformats.org/officeDocument/2006/relationships/hyperlink" Target="https://www.sec.gov/Archives/edgar/data/1796022/000119312524241230/d862000dex101.htm" TargetMode="External"/><Relationship Id="rId223" Type="http://schemas.openxmlformats.org/officeDocument/2006/relationships/hyperlink" Target="https://www.sec.gov/Archives/edgar/data/1796022/000119312524151736/d810694dex101.htm" TargetMode="External"/><Relationship Id="rId224" Type="http://schemas.openxmlformats.org/officeDocument/2006/relationships/hyperlink" Target="https://www.sec.gov/Archives/edgar/data/1796022/000119312520248881/d23934dex102.htm" TargetMode="External"/><Relationship Id="rId225" Type="http://schemas.openxmlformats.org/officeDocument/2006/relationships/hyperlink" Target="https://www.sec.gov/Archives/edgar/data/1796022/000119312520248881/d23934dex103.htm" TargetMode="External"/><Relationship Id="rId226" Type="http://schemas.openxmlformats.org/officeDocument/2006/relationships/hyperlink" Target="https://www.sec.gov/Archives/edgar/data/1796022/000119312520248881/d23934dex104.htm" TargetMode="External"/><Relationship Id="rId227" Type="http://schemas.openxmlformats.org/officeDocument/2006/relationships/hyperlink" Target="https://www.sec.gov/Archives/edgar/data/1796022/000119312524151736/d810694dex102.htm" TargetMode="External"/><Relationship Id="rId228" Type="http://schemas.openxmlformats.org/officeDocument/2006/relationships/hyperlink" Target="https://www.sec.gov/Archives/edgar/data/1796022/000119312521277301/d173286dex102.htm" TargetMode="External"/><Relationship Id="rId229" Type="http://schemas.openxmlformats.org/officeDocument/2006/relationships/hyperlink" Target="https://www.sec.gov/Archives/edgar/data/1796022/000119312520248881/d23934dex107.htm" TargetMode="External"/><Relationship Id="rId230" Type="http://schemas.openxmlformats.org/officeDocument/2006/relationships/hyperlink" Target="https://www.sec.gov/Archives/edgar/data/1796022/000179602223000011/exhibit102q3fy2023.htm" TargetMode="External"/><Relationship Id="rId231" Type="http://schemas.openxmlformats.org/officeDocument/2006/relationships/hyperlink" Target="https://www.sec.gov/Archives/edgar/data/1796022/000119312520228520/d828990dex108.htm" TargetMode="External"/><Relationship Id="rId232" Type="http://schemas.openxmlformats.org/officeDocument/2006/relationships/hyperlink" Target="https://www.sec.gov/Archives/edgar/data/1796022/000119312520228520/d828990dex109.htm" TargetMode="External"/><Relationship Id="rId233" Type="http://schemas.openxmlformats.org/officeDocument/2006/relationships/hyperlink" Target="https://www.sec.gov/Archives/edgar/data/1796022/000119312521277301/d173286dex105.htm" TargetMode="External"/><Relationship Id="rId234" Type="http://schemas.openxmlformats.org/officeDocument/2006/relationships/hyperlink" Target="https://www.sec.gov/Archives/edgar/data/1796022/000119312524141712/d817513dex101.htm" TargetMode="External"/><Relationship Id="rId235" Type="http://schemas.openxmlformats.org/officeDocument/2006/relationships/hyperlink" Target="https://www.sec.gov/Archives/edgar/data/1796022/000119312522276867/d383780dex101.htm" TargetMode="External"/><Relationship Id="rId237" Type="http://schemas.openxmlformats.org/officeDocument/2006/relationships/hyperlink" Target="https://www.sec.gov/Archives/edgar/data/1796022/000179602223000049/exhibit102consultingservic.htm" TargetMode="External"/><Relationship Id="rId238" Type="http://schemas.openxmlformats.org/officeDocument/2006/relationships/hyperlink" Target="https://www.sec.gov/Archives/edgar/data/1796022/000119312523236907/d482578dex993.htm" TargetMode="External"/><Relationship Id="rId239" Type="http://schemas.openxmlformats.org/officeDocument/2006/relationships/hyperlink" Target="https://www.sec.gov/Archives/edgar/data/1796022/000119312524151736/d810694dex103.htm" TargetMode="External"/><Relationship Id="rId240" Type="http://schemas.openxmlformats.org/officeDocument/2006/relationships/hyperlink" Target="https://www.sec.gov/Archives/edgar/data/1796022/000179602224000041/exhibit971-stepclawbackp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2025-05-23T15:22:13Z</dcterms:created>
  <dcterms:modified xsi:type="dcterms:W3CDTF">2025-05-23T15:22:13Z</dcterms:modified>
</cp:coreProperties>
</file>